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71A1" w14:textId="320559FE" w:rsidR="00902123" w:rsidRPr="00A21195" w:rsidRDefault="00902123" w:rsidP="00902123">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100</w:t>
      </w:r>
      <w:r w:rsidRPr="00AB081E">
        <w:rPr>
          <w:rFonts w:cs="Arial"/>
          <w:sz w:val="24"/>
          <w:szCs w:val="24"/>
        </w:rPr>
        <w:t>-e</w:t>
      </w:r>
      <w:r w:rsidRPr="002D6524">
        <w:rPr>
          <w:rFonts w:cs="Arial"/>
          <w:noProof w:val="0"/>
          <w:sz w:val="24"/>
        </w:rPr>
        <w:tab/>
      </w:r>
      <w:r w:rsidRPr="002D6524">
        <w:rPr>
          <w:rFonts w:cs="Arial"/>
          <w:noProof w:val="0"/>
          <w:sz w:val="24"/>
        </w:rPr>
        <w:tab/>
      </w:r>
      <w:r w:rsidR="0082063B" w:rsidRPr="0082063B">
        <w:rPr>
          <w:rFonts w:cs="Arial"/>
          <w:noProof w:val="0"/>
          <w:sz w:val="24"/>
        </w:rPr>
        <w:t>R4-2114186</w:t>
      </w:r>
    </w:p>
    <w:p w14:paraId="42CBEF0D" w14:textId="77777777" w:rsidR="00902123" w:rsidRPr="00AB081E" w:rsidRDefault="00902123" w:rsidP="00902123">
      <w:pPr>
        <w:pStyle w:val="Header"/>
        <w:tabs>
          <w:tab w:val="right" w:pos="8280"/>
          <w:tab w:val="right" w:pos="9639"/>
        </w:tabs>
        <w:jc w:val="both"/>
        <w:rPr>
          <w:rFonts w:cs="Arial"/>
          <w:sz w:val="24"/>
          <w:szCs w:val="24"/>
        </w:rPr>
      </w:pPr>
      <w:r w:rsidRPr="00AB081E">
        <w:rPr>
          <w:rFonts w:cs="Arial"/>
          <w:sz w:val="24"/>
          <w:szCs w:val="24"/>
        </w:rPr>
        <w:t>E-meeting, 1</w:t>
      </w:r>
      <w:r>
        <w:rPr>
          <w:rFonts w:cs="Arial"/>
          <w:sz w:val="24"/>
          <w:szCs w:val="24"/>
        </w:rPr>
        <w:t>6</w:t>
      </w:r>
      <w:r w:rsidRPr="00AB081E">
        <w:rPr>
          <w:rFonts w:cs="Arial"/>
          <w:sz w:val="24"/>
          <w:szCs w:val="24"/>
        </w:rPr>
        <w:t xml:space="preserve"> </w:t>
      </w:r>
      <w:r>
        <w:rPr>
          <w:rFonts w:cs="Arial"/>
          <w:sz w:val="24"/>
          <w:szCs w:val="24"/>
        </w:rPr>
        <w:t>Aug</w:t>
      </w:r>
      <w:r w:rsidRPr="00AB081E">
        <w:rPr>
          <w:rFonts w:cs="Arial"/>
          <w:sz w:val="24"/>
          <w:szCs w:val="24"/>
        </w:rPr>
        <w:t xml:space="preserve"> – 27 </w:t>
      </w:r>
      <w:r>
        <w:rPr>
          <w:rFonts w:cs="Arial"/>
          <w:sz w:val="24"/>
          <w:szCs w:val="24"/>
        </w:rPr>
        <w:t>Aug</w:t>
      </w:r>
      <w:r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50C882B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C65EF3" w:rsidRPr="00AB081E">
        <w:rPr>
          <w:rFonts w:ascii="Arial" w:hAnsi="Arial" w:cs="Arial"/>
          <w:b/>
          <w:sz w:val="24"/>
        </w:rPr>
        <w:t>9.</w:t>
      </w:r>
      <w:r w:rsidR="00902123">
        <w:rPr>
          <w:rFonts w:ascii="Arial" w:hAnsi="Arial" w:cs="Arial"/>
          <w:b/>
          <w:sz w:val="24"/>
        </w:rPr>
        <w:t>9</w:t>
      </w:r>
      <w:r w:rsidR="00C65EF3" w:rsidRPr="00AB081E">
        <w:rPr>
          <w:rFonts w:ascii="Arial" w:hAnsi="Arial" w:cs="Arial"/>
          <w:b/>
          <w:sz w:val="24"/>
        </w:rPr>
        <w:t>.</w:t>
      </w:r>
      <w:r w:rsidR="002F61C5">
        <w:rPr>
          <w:rFonts w:ascii="Arial" w:hAnsi="Arial" w:cs="Arial"/>
          <w:b/>
          <w:sz w:val="24"/>
        </w:rPr>
        <w:t>4</w:t>
      </w:r>
      <w:r w:rsidR="00C65EF3" w:rsidRPr="00AB081E">
        <w:rPr>
          <w:rFonts w:ascii="Arial" w:hAnsi="Arial" w:cs="Arial"/>
          <w:b/>
          <w:sz w:val="24"/>
        </w:rPr>
        <w:t>.</w:t>
      </w:r>
      <w:r w:rsidR="002F61C5">
        <w:rPr>
          <w:rFonts w:ascii="Arial" w:hAnsi="Arial" w:cs="Arial"/>
          <w:b/>
          <w:sz w:val="24"/>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C6081B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4A2C7A" w:rsidRPr="004A2C7A">
        <w:rPr>
          <w:rFonts w:ascii="Arial" w:hAnsi="Arial" w:cs="Arial"/>
          <w:b/>
          <w:sz w:val="24"/>
        </w:rPr>
        <w:t>Discussion on the number of RX beams for FR2 HST</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0E1ECB2" w14:textId="1234F300" w:rsidR="00667EDE" w:rsidRPr="001672D9" w:rsidRDefault="00667EDE" w:rsidP="00F01182">
      <w:pPr>
        <w:jc w:val="both"/>
      </w:pPr>
      <w:r w:rsidRPr="001672D9">
        <w:t>During RAN4#9</w:t>
      </w:r>
      <w:r w:rsidR="00902123">
        <w:t>9</w:t>
      </w:r>
      <w:r w:rsidRPr="001672D9">
        <w:t xml:space="preserve">-e the following </w:t>
      </w:r>
      <w:r w:rsidR="00902123">
        <w:t>open issues were captured in the WF</w:t>
      </w:r>
      <w:r w:rsidR="00AD511C" w:rsidRPr="001672D9">
        <w:t xml:space="preserve"> [1]</w:t>
      </w:r>
      <w:r w:rsidRPr="001672D9">
        <w:t>:</w:t>
      </w:r>
    </w:p>
    <w:tbl>
      <w:tblPr>
        <w:tblStyle w:val="TableGrid"/>
        <w:tblW w:w="0" w:type="auto"/>
        <w:tblLook w:val="04A0" w:firstRow="1" w:lastRow="0" w:firstColumn="1" w:lastColumn="0" w:noHBand="0" w:noVBand="1"/>
      </w:tblPr>
      <w:tblGrid>
        <w:gridCol w:w="9629"/>
      </w:tblGrid>
      <w:tr w:rsidR="00667EDE" w14:paraId="439DAAEB" w14:textId="77777777" w:rsidTr="00667EDE">
        <w:tc>
          <w:tcPr>
            <w:tcW w:w="9629" w:type="dxa"/>
          </w:tcPr>
          <w:p w14:paraId="125BEDF5" w14:textId="6E790391" w:rsidR="004707CB" w:rsidRPr="00667EDE" w:rsidRDefault="004707CB" w:rsidP="004707CB">
            <w:pPr>
              <w:pStyle w:val="ListParagraph"/>
              <w:numPr>
                <w:ilvl w:val="0"/>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4707CB">
              <w:rPr>
                <w:rFonts w:ascii="Times-Roman" w:eastAsia="SimSun" w:hAnsi="Times-Roman"/>
                <w:i/>
                <w:iCs/>
                <w:sz w:val="20"/>
                <w:szCs w:val="20"/>
                <w:lang w:val="en-GB"/>
              </w:rPr>
              <w:t>Decreasing RX beam number</w:t>
            </w:r>
          </w:p>
          <w:p w14:paraId="5B828A87" w14:textId="77777777" w:rsidR="004707CB" w:rsidRDefault="004707CB" w:rsidP="00902123">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4707CB">
              <w:rPr>
                <w:rFonts w:ascii="Times-Roman" w:eastAsia="SimSun" w:hAnsi="Times-Roman"/>
                <w:i/>
                <w:iCs/>
                <w:sz w:val="20"/>
                <w:szCs w:val="20"/>
              </w:rPr>
              <w:t>FFS the feasible number of RX beams from RRM perspective</w:t>
            </w:r>
          </w:p>
          <w:p w14:paraId="25FFB796" w14:textId="77777777" w:rsidR="00667EDE" w:rsidRDefault="004707CB" w:rsidP="00902123">
            <w:pPr>
              <w:pStyle w:val="ListParagraph"/>
              <w:numPr>
                <w:ilvl w:val="2"/>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4707CB">
              <w:rPr>
                <w:rFonts w:ascii="Times-Roman" w:eastAsia="SimSun" w:hAnsi="Times-Roman"/>
                <w:i/>
                <w:iCs/>
                <w:sz w:val="20"/>
                <w:szCs w:val="20"/>
              </w:rPr>
              <w:t>deployment scenario study is used as reference</w:t>
            </w:r>
          </w:p>
          <w:p w14:paraId="4C07A50D" w14:textId="77777777" w:rsidR="00902123" w:rsidRPr="00902123" w:rsidRDefault="00902123" w:rsidP="00902123">
            <w:pPr>
              <w:pStyle w:val="ListParagraph"/>
              <w:overflowPunct w:val="0"/>
              <w:autoSpaceDE w:val="0"/>
              <w:autoSpaceDN w:val="0"/>
              <w:adjustRightInd w:val="0"/>
              <w:spacing w:before="120" w:after="120"/>
              <w:ind w:left="1080"/>
              <w:textAlignment w:val="baseline"/>
              <w:rPr>
                <w:rFonts w:ascii="Times-Roman" w:eastAsia="SimSun" w:hAnsi="Times-Roman" w:hint="eastAsia"/>
                <w:i/>
                <w:iCs/>
                <w:sz w:val="20"/>
                <w:szCs w:val="20"/>
              </w:rPr>
            </w:pPr>
          </w:p>
          <w:p w14:paraId="10F8CD73" w14:textId="45AE5535" w:rsidR="00902123" w:rsidRPr="00902123" w:rsidRDefault="00902123" w:rsidP="00902123">
            <w:pPr>
              <w:pStyle w:val="ListParagraph"/>
              <w:numPr>
                <w:ilvl w:val="0"/>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902123">
              <w:rPr>
                <w:rFonts w:ascii="Times-Roman" w:eastAsia="SimSun" w:hAnsi="Times-Roman"/>
                <w:i/>
                <w:iCs/>
                <w:sz w:val="20"/>
                <w:szCs w:val="20"/>
              </w:rPr>
              <w:t>Beam search scaling factor N</w:t>
            </w:r>
          </w:p>
          <w:p w14:paraId="23F330A3" w14:textId="311AEA5A" w:rsidR="00902123" w:rsidRPr="004707CB" w:rsidRDefault="00902123" w:rsidP="00902123">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902123">
              <w:rPr>
                <w:rFonts w:ascii="Times-Roman" w:eastAsia="SimSun" w:hAnsi="Times-Roman"/>
                <w:i/>
                <w:iCs/>
                <w:sz w:val="20"/>
                <w:szCs w:val="20"/>
              </w:rPr>
              <w:t>FFS: to be discussed depending on the outcomes of the deployment scenarios and when the number of RX beams is determined</w:t>
            </w:r>
          </w:p>
        </w:tc>
      </w:tr>
    </w:tbl>
    <w:p w14:paraId="68381E01" w14:textId="02F76A27" w:rsidR="00096AA2" w:rsidRPr="00096AA2" w:rsidRDefault="00096AA2" w:rsidP="00F01182">
      <w:pPr>
        <w:jc w:val="both"/>
      </w:pPr>
      <w:r w:rsidRPr="00096AA2">
        <w:t>In this paper we would like to discuss what assumptions on the number of UE RX beams should be considered by RRM group</w:t>
      </w:r>
    </w:p>
    <w:p w14:paraId="0313439D" w14:textId="77777777" w:rsidR="00F01182" w:rsidRPr="00146B4F" w:rsidRDefault="00F01182" w:rsidP="00F01182">
      <w:pPr>
        <w:pStyle w:val="Heading1"/>
      </w:pPr>
      <w:r>
        <w:t>Discussion</w:t>
      </w:r>
    </w:p>
    <w:p w14:paraId="2C27B163" w14:textId="7B14DA7E" w:rsidR="004707CB" w:rsidRDefault="00AD511C" w:rsidP="00F01182">
      <w:pPr>
        <w:rPr>
          <w:lang w:eastAsia="ja-JP" w:bidi="hi-IN"/>
        </w:rPr>
      </w:pPr>
      <w:r w:rsidRPr="00AD511C">
        <w:rPr>
          <w:lang w:eastAsia="ja-JP" w:bidi="hi-IN"/>
        </w:rPr>
        <w:t xml:space="preserve">To justify the </w:t>
      </w:r>
      <w:r>
        <w:rPr>
          <w:lang w:eastAsia="ja-JP" w:bidi="hi-IN"/>
        </w:rPr>
        <w:t>proposals made in this paper</w:t>
      </w:r>
      <w:r w:rsidRPr="00AD511C">
        <w:rPr>
          <w:lang w:eastAsia="ja-JP" w:bidi="hi-IN"/>
        </w:rPr>
        <w:t xml:space="preserve">, we will refer to </w:t>
      </w:r>
      <w:r>
        <w:rPr>
          <w:lang w:eastAsia="ja-JP" w:bidi="hi-IN"/>
        </w:rPr>
        <w:t xml:space="preserve">the link budget analysis. The main assumptions were described in </w:t>
      </w:r>
      <w:r w:rsidRPr="00CC5DB4">
        <w:rPr>
          <w:lang w:eastAsia="ja-JP" w:bidi="hi-IN"/>
        </w:rPr>
        <w:t xml:space="preserve">[2] </w:t>
      </w:r>
      <w:r>
        <w:rPr>
          <w:lang w:eastAsia="ja-JP" w:bidi="hi-IN"/>
        </w:rPr>
        <w:t xml:space="preserve">and </w:t>
      </w:r>
      <w:r w:rsidRPr="00CC5DB4">
        <w:rPr>
          <w:lang w:eastAsia="ja-JP" w:bidi="hi-IN"/>
        </w:rPr>
        <w:t>[3]</w:t>
      </w:r>
      <w:r>
        <w:rPr>
          <w:lang w:eastAsia="ja-JP" w:bidi="hi-IN"/>
        </w:rPr>
        <w:t xml:space="preserve">. For the analysis in this paper we used the antenna parameters agreed </w:t>
      </w:r>
      <w:r w:rsidR="004707CB">
        <w:rPr>
          <w:lang w:eastAsia="ja-JP" w:bidi="hi-IN"/>
        </w:rPr>
        <w:t xml:space="preserve">in the previous </w:t>
      </w:r>
      <w:r>
        <w:rPr>
          <w:lang w:eastAsia="ja-JP" w:bidi="hi-IN"/>
        </w:rPr>
        <w:t>meeting</w:t>
      </w:r>
      <w:r w:rsidR="004707CB">
        <w:rPr>
          <w:lang w:eastAsia="ja-JP" w:bidi="hi-IN"/>
        </w:rPr>
        <w:t>s</w:t>
      </w:r>
      <w:r>
        <w:rPr>
          <w:lang w:eastAsia="ja-JP" w:bidi="hi-IN"/>
        </w:rPr>
        <w:t xml:space="preserve">: </w:t>
      </w:r>
      <w:r w:rsidRPr="00014D23">
        <w:rPr>
          <w:lang w:eastAsia="ja-JP" w:bidi="hi-IN"/>
        </w:rPr>
        <w:t xml:space="preserve">[Mg, Ng, M, N, </w:t>
      </w:r>
      <w:proofErr w:type="gramStart"/>
      <w:r w:rsidRPr="00014D23">
        <w:rPr>
          <w:lang w:eastAsia="ja-JP" w:bidi="hi-IN"/>
        </w:rPr>
        <w:t>P]=</w:t>
      </w:r>
      <w:proofErr w:type="gramEnd"/>
      <w:r w:rsidRPr="00014D23">
        <w:rPr>
          <w:lang w:eastAsia="ja-JP" w:bidi="hi-IN"/>
        </w:rPr>
        <w:t>[1, 1, 8, 8, 2]</w:t>
      </w:r>
      <w:r>
        <w:rPr>
          <w:lang w:eastAsia="ja-JP" w:bidi="hi-IN"/>
        </w:rPr>
        <w:t xml:space="preserve"> at RRH side and </w:t>
      </w:r>
      <w:r w:rsidRPr="00014D23">
        <w:rPr>
          <w:lang w:eastAsia="ja-JP" w:bidi="hi-IN"/>
        </w:rPr>
        <w:t xml:space="preserve">[Mg, Ng, M, N, P]=[1, 1, </w:t>
      </w:r>
      <w:r>
        <w:rPr>
          <w:lang w:eastAsia="ja-JP" w:bidi="hi-IN"/>
        </w:rPr>
        <w:t>4</w:t>
      </w:r>
      <w:r w:rsidRPr="00014D23">
        <w:rPr>
          <w:lang w:eastAsia="ja-JP" w:bidi="hi-IN"/>
        </w:rPr>
        <w:t xml:space="preserve">, </w:t>
      </w:r>
      <w:r>
        <w:rPr>
          <w:lang w:eastAsia="ja-JP" w:bidi="hi-IN"/>
        </w:rPr>
        <w:t>4</w:t>
      </w:r>
      <w:r w:rsidRPr="00014D23">
        <w:rPr>
          <w:lang w:eastAsia="ja-JP" w:bidi="hi-IN"/>
        </w:rPr>
        <w:t>, 2]</w:t>
      </w:r>
      <w:r>
        <w:rPr>
          <w:lang w:eastAsia="ja-JP" w:bidi="hi-IN"/>
        </w:rPr>
        <w:t xml:space="preserve"> at the UE side</w:t>
      </w:r>
      <w:r w:rsidR="00FE4B73">
        <w:rPr>
          <w:lang w:eastAsia="ja-JP" w:bidi="hi-IN"/>
        </w:rPr>
        <w:t>.</w:t>
      </w:r>
      <w:r w:rsidR="00A778DA">
        <w:rPr>
          <w:lang w:eastAsia="ja-JP" w:bidi="hi-IN"/>
        </w:rPr>
        <w:t xml:space="preserve"> One RRH beams per panel are considered for Scenario-A based on [</w:t>
      </w:r>
      <w:r w:rsidR="00902123">
        <w:rPr>
          <w:lang w:eastAsia="ja-JP" w:bidi="hi-IN"/>
        </w:rPr>
        <w:t>4</w:t>
      </w:r>
      <w:r w:rsidR="00A778DA">
        <w:rPr>
          <w:lang w:eastAsia="ja-JP" w:bidi="hi-IN"/>
        </w:rPr>
        <w:t xml:space="preserve">]. </w:t>
      </w:r>
      <w:r w:rsidR="004707CB">
        <w:rPr>
          <w:lang w:eastAsia="ja-JP" w:bidi="hi-IN"/>
        </w:rPr>
        <w:t>Two and eight RRH beams per panel are considered for Scenario-B</w:t>
      </w:r>
    </w:p>
    <w:p w14:paraId="0B447976" w14:textId="18F28D69" w:rsidR="00FE4B73" w:rsidRPr="00A778DA" w:rsidRDefault="00A778DA" w:rsidP="00F01182">
      <w:pPr>
        <w:rPr>
          <w:lang w:val="en-US" w:eastAsia="ja-JP" w:bidi="hi-IN"/>
        </w:rPr>
      </w:pPr>
      <w:r>
        <w:rPr>
          <w:lang w:eastAsia="ja-JP" w:bidi="hi-IN"/>
        </w:rPr>
        <w:t xml:space="preserve">Figure 1 shows the radiation pattern of the beams, considered at the UE side. </w:t>
      </w:r>
      <w:r w:rsidR="00FE4B73">
        <w:rPr>
          <w:lang w:eastAsia="ja-JP" w:bidi="hi-IN"/>
        </w:rPr>
        <w:t>Boresight beam</w:t>
      </w:r>
      <w:r>
        <w:rPr>
          <w:lang w:eastAsia="ja-JP" w:bidi="hi-IN"/>
        </w:rPr>
        <w:t xml:space="preserve"> which is used for single Rx beam analysis</w:t>
      </w:r>
      <w:r w:rsidR="00FE4B73">
        <w:rPr>
          <w:lang w:eastAsia="ja-JP" w:bidi="hi-IN"/>
        </w:rPr>
        <w:t xml:space="preserve"> is drawn with a thick blue line</w:t>
      </w:r>
      <w:r>
        <w:rPr>
          <w:lang w:eastAsia="ja-JP" w:bidi="hi-IN"/>
        </w:rPr>
        <w:t>.</w:t>
      </w:r>
      <w:r w:rsidR="007A0D48">
        <w:rPr>
          <w:lang w:eastAsia="ja-JP" w:bidi="hi-IN"/>
        </w:rPr>
        <w:t xml:space="preserve"> The boresight beams of the RRH and UE are aligned when UE is located under the neighbouring RRH (RRH boresight angle is -0.8deg for Scenario-A and -12deg for Scenario-B)</w:t>
      </w:r>
    </w:p>
    <w:p w14:paraId="50CC7E5D" w14:textId="50188715" w:rsidR="00FE4B73" w:rsidRDefault="00FE4B73" w:rsidP="00F01182">
      <w:pPr>
        <w:rPr>
          <w:lang w:eastAsia="ja-JP" w:bidi="hi-IN"/>
        </w:rPr>
      </w:pPr>
    </w:p>
    <w:tbl>
      <w:tblPr>
        <w:tblStyle w:val="TableGrid"/>
        <w:tblW w:w="0" w:type="auto"/>
        <w:tblLook w:val="04A0" w:firstRow="1" w:lastRow="0" w:firstColumn="1" w:lastColumn="0" w:noHBand="0" w:noVBand="1"/>
      </w:tblPr>
      <w:tblGrid>
        <w:gridCol w:w="9629"/>
      </w:tblGrid>
      <w:tr w:rsidR="00FE4B73" w14:paraId="6C9DC952" w14:textId="77777777" w:rsidTr="00FE4B73">
        <w:tc>
          <w:tcPr>
            <w:tcW w:w="9629" w:type="dxa"/>
          </w:tcPr>
          <w:p w14:paraId="5C9164BB" w14:textId="77777777" w:rsidR="00FE4B73" w:rsidRDefault="00FE4B73" w:rsidP="00FE4B73">
            <w:pPr>
              <w:jc w:val="center"/>
              <w:rPr>
                <w:lang w:eastAsia="ja-JP" w:bidi="hi-IN"/>
              </w:rPr>
            </w:pPr>
            <w:r w:rsidRPr="00FE4B73">
              <w:rPr>
                <w:noProof/>
                <w:lang w:eastAsia="ja-JP" w:bidi="hi-IN"/>
              </w:rPr>
              <w:lastRenderedPageBreak/>
              <w:drawing>
                <wp:inline distT="0" distB="0" distL="0" distR="0" wp14:anchorId="516EB292" wp14:editId="48AEBD53">
                  <wp:extent cx="4509019" cy="3164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b="5452"/>
                          <a:stretch/>
                        </pic:blipFill>
                        <pic:spPr bwMode="auto">
                          <a:xfrm>
                            <a:off x="0" y="0"/>
                            <a:ext cx="4513861" cy="3168017"/>
                          </a:xfrm>
                          <a:prstGeom prst="rect">
                            <a:avLst/>
                          </a:prstGeom>
                          <a:noFill/>
                          <a:ln>
                            <a:noFill/>
                          </a:ln>
                          <a:extLst>
                            <a:ext uri="{53640926-AAD7-44D8-BBD7-CCE9431645EC}">
                              <a14:shadowObscured xmlns:a14="http://schemas.microsoft.com/office/drawing/2010/main"/>
                            </a:ext>
                          </a:extLst>
                        </pic:spPr>
                      </pic:pic>
                    </a:graphicData>
                  </a:graphic>
                </wp:inline>
              </w:drawing>
            </w:r>
          </w:p>
          <w:p w14:paraId="4C3F6EBA" w14:textId="72BC2709" w:rsidR="00FE4B73" w:rsidRDefault="00FE4B73" w:rsidP="00FE4B73">
            <w:pPr>
              <w:spacing w:before="0" w:after="0"/>
              <w:jc w:val="center"/>
              <w:rPr>
                <w:rFonts w:ascii="Times-Roman" w:hAnsi="Times-Roman" w:hint="eastAsia"/>
                <w:lang w:val="en-US"/>
              </w:rPr>
            </w:pPr>
            <w:r>
              <w:rPr>
                <w:rFonts w:ascii="Times-Roman" w:hAnsi="Times-Roman"/>
                <w:lang w:val="en-US"/>
              </w:rPr>
              <w:t>Figure 1. Radiation patterns of 8 CPE beams</w:t>
            </w:r>
          </w:p>
          <w:p w14:paraId="4C442073" w14:textId="62BB7334" w:rsidR="00FE4B73" w:rsidRPr="00FE4B73" w:rsidRDefault="00FE4B73" w:rsidP="00FE4B73">
            <w:pPr>
              <w:spacing w:before="0" w:after="0"/>
              <w:jc w:val="center"/>
              <w:rPr>
                <w:rFonts w:ascii="Times-Roman" w:hAnsi="Times-Roman" w:hint="eastAsia"/>
                <w:lang w:val="en-US"/>
              </w:rPr>
            </w:pPr>
          </w:p>
        </w:tc>
      </w:tr>
    </w:tbl>
    <w:p w14:paraId="58030D8A" w14:textId="77777777" w:rsidR="00FE4B73" w:rsidRPr="00AD511C" w:rsidRDefault="00FE4B73" w:rsidP="00F01182">
      <w:pPr>
        <w:rPr>
          <w:lang w:eastAsia="ja-JP" w:bidi="hi-IN"/>
        </w:rPr>
      </w:pPr>
    </w:p>
    <w:p w14:paraId="4D5646DE" w14:textId="29E59778" w:rsidR="001672D9" w:rsidRDefault="001672D9" w:rsidP="001672D9">
      <w:pPr>
        <w:pStyle w:val="Heading2"/>
      </w:pPr>
      <w:r>
        <w:t>Uni-directional Scenario A</w:t>
      </w:r>
    </w:p>
    <w:p w14:paraId="3F88BA1E" w14:textId="78E238D4" w:rsidR="001672D9" w:rsidRPr="0021301F" w:rsidRDefault="001672D9" w:rsidP="001672D9">
      <w:pPr>
        <w:rPr>
          <w:lang w:eastAsia="ja-JP" w:bidi="hi-IN"/>
        </w:rPr>
      </w:pPr>
      <w:r w:rsidRPr="001672D9">
        <w:rPr>
          <w:lang w:eastAsia="ja-JP" w:bidi="hi-IN"/>
        </w:rPr>
        <w:t>In Figure 2</w:t>
      </w:r>
      <w:r w:rsidR="0021301F">
        <w:rPr>
          <w:lang w:eastAsia="ja-JP" w:bidi="hi-IN"/>
        </w:rPr>
        <w:t xml:space="preserve"> we demonstrate link budget comparison between the cases of single and multiple (8) Rx beams to be used at the UE side. As we can see on</w:t>
      </w:r>
      <w:r w:rsidR="0021301F" w:rsidRPr="0021301F">
        <w:rPr>
          <w:lang w:eastAsia="ja-JP" w:bidi="hi-IN"/>
        </w:rPr>
        <w:t xml:space="preserve"> the most distance there is no difference between these two cases. The only benefit of using multiple Rx beams can be observed at the </w:t>
      </w:r>
      <w:r w:rsidR="0021301F">
        <w:rPr>
          <w:lang w:eastAsia="ja-JP" w:bidi="hi-IN"/>
        </w:rPr>
        <w:t xml:space="preserve">narrow </w:t>
      </w:r>
      <w:r w:rsidR="0021301F" w:rsidRPr="0021301F">
        <w:rPr>
          <w:lang w:eastAsia="ja-JP" w:bidi="hi-IN"/>
        </w:rPr>
        <w:t>area near RRH where UE tries to adapt its Rx beam to the RRH radiation pattern sidelobes.</w:t>
      </w:r>
    </w:p>
    <w:tbl>
      <w:tblPr>
        <w:tblStyle w:val="TableGrid"/>
        <w:tblW w:w="0" w:type="auto"/>
        <w:tblLook w:val="04A0" w:firstRow="1" w:lastRow="0" w:firstColumn="1" w:lastColumn="0" w:noHBand="0" w:noVBand="1"/>
      </w:tblPr>
      <w:tblGrid>
        <w:gridCol w:w="9629"/>
      </w:tblGrid>
      <w:tr w:rsidR="001672D9" w14:paraId="61374686" w14:textId="77777777" w:rsidTr="009B0952">
        <w:tc>
          <w:tcPr>
            <w:tcW w:w="9629" w:type="dxa"/>
          </w:tcPr>
          <w:p w14:paraId="1D0CC804" w14:textId="77777777" w:rsidR="001672D9" w:rsidRDefault="001672D9" w:rsidP="009B0952">
            <w:pPr>
              <w:jc w:val="center"/>
              <w:rPr>
                <w:color w:val="FF0000"/>
                <w:lang w:eastAsia="ja-JP" w:bidi="hi-IN"/>
              </w:rPr>
            </w:pPr>
            <w:r w:rsidRPr="0029383D">
              <w:rPr>
                <w:noProof/>
                <w:color w:val="FF0000"/>
                <w:lang w:eastAsia="ja-JP" w:bidi="hi-IN"/>
              </w:rPr>
              <w:drawing>
                <wp:inline distT="0" distB="0" distL="0" distR="0" wp14:anchorId="6A7C549C" wp14:editId="3EC6CD6C">
                  <wp:extent cx="5201392" cy="21613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9815" r="5049"/>
                          <a:stretch/>
                        </pic:blipFill>
                        <pic:spPr bwMode="auto">
                          <a:xfrm>
                            <a:off x="0" y="0"/>
                            <a:ext cx="5201742" cy="2161540"/>
                          </a:xfrm>
                          <a:prstGeom prst="rect">
                            <a:avLst/>
                          </a:prstGeom>
                          <a:noFill/>
                          <a:ln>
                            <a:noFill/>
                          </a:ln>
                          <a:extLst>
                            <a:ext uri="{53640926-AAD7-44D8-BBD7-CCE9431645EC}">
                              <a14:shadowObscured xmlns:a14="http://schemas.microsoft.com/office/drawing/2010/main"/>
                            </a:ext>
                          </a:extLst>
                        </pic:spPr>
                      </pic:pic>
                    </a:graphicData>
                  </a:graphic>
                </wp:inline>
              </w:drawing>
            </w:r>
          </w:p>
          <w:p w14:paraId="0E6203C5" w14:textId="77777777" w:rsidR="001672D9" w:rsidRDefault="001672D9" w:rsidP="009B0952">
            <w:pPr>
              <w:jc w:val="center"/>
              <w:rPr>
                <w:color w:val="FF0000"/>
                <w:lang w:eastAsia="ja-JP" w:bidi="hi-IN"/>
              </w:rPr>
            </w:pPr>
            <w:r>
              <w:rPr>
                <w:rFonts w:ascii="Times-Roman" w:hAnsi="Times-Roman"/>
                <w:lang w:val="en-US"/>
              </w:rPr>
              <w:t xml:space="preserve">Figure 2. DL SNR along the track for the cases when one (blue curve) and eight (red curve) beams are used at the UE. </w:t>
            </w:r>
            <w:r w:rsidRPr="003C7EE1">
              <w:rPr>
                <w:rFonts w:ascii="Times-Roman" w:hAnsi="Times-Roman"/>
                <w:lang w:val="en-US"/>
              </w:rPr>
              <w:t>Ideal beam/RRH switching based on the best provided SNR is considered</w:t>
            </w:r>
          </w:p>
        </w:tc>
      </w:tr>
    </w:tbl>
    <w:p w14:paraId="3AA0FC66" w14:textId="4D85E71E" w:rsidR="001672D9" w:rsidRPr="0021301F" w:rsidRDefault="001672D9" w:rsidP="001672D9">
      <w:pPr>
        <w:rPr>
          <w:lang w:val="en-US" w:eastAsia="ja-JP" w:bidi="hi-IN"/>
        </w:rPr>
      </w:pPr>
      <w:r w:rsidRPr="0021301F">
        <w:rPr>
          <w:lang w:eastAsia="ja-JP" w:bidi="hi-IN"/>
        </w:rPr>
        <w:t xml:space="preserve">However, this analysis assumes ideal beam/RRH switching based on the best provided SNR. It doesn’t take into account the measurement report </w:t>
      </w:r>
      <w:proofErr w:type="gramStart"/>
      <w:r w:rsidRPr="0021301F">
        <w:rPr>
          <w:lang w:eastAsia="ja-JP" w:bidi="hi-IN"/>
        </w:rPr>
        <w:t>delay</w:t>
      </w:r>
      <w:proofErr w:type="gramEnd"/>
      <w:r w:rsidRPr="0021301F">
        <w:rPr>
          <w:lang w:eastAsia="ja-JP" w:bidi="hi-IN"/>
        </w:rPr>
        <w:t xml:space="preserve"> which is significant for such frequent beam/RRH change</w:t>
      </w:r>
      <w:r w:rsidRPr="0021301F">
        <w:rPr>
          <w:lang w:val="en-US" w:eastAsia="ja-JP" w:bidi="hi-IN"/>
        </w:rPr>
        <w:t>. In Figure 3 this delay is considered. There we assume the L1-RSRP report delayed by (T</w:t>
      </w:r>
      <w:r w:rsidRPr="0021301F">
        <w:rPr>
          <w:vertAlign w:val="subscript"/>
          <w:lang w:val="en-US" w:eastAsia="ja-JP" w:bidi="hi-IN"/>
        </w:rPr>
        <w:t>SSB</w:t>
      </w:r>
      <w:r w:rsidRPr="0021301F">
        <w:rPr>
          <w:lang w:val="en-US" w:eastAsia="ja-JP" w:bidi="hi-IN"/>
        </w:rPr>
        <w:t xml:space="preserve"> * N</w:t>
      </w:r>
      <w:r w:rsidRPr="0021301F">
        <w:rPr>
          <w:vertAlign w:val="subscript"/>
          <w:lang w:val="en-US" w:eastAsia="ja-JP" w:bidi="hi-IN"/>
        </w:rPr>
        <w:t>RX</w:t>
      </w:r>
      <w:r w:rsidRPr="0021301F">
        <w:rPr>
          <w:lang w:val="en-US" w:eastAsia="ja-JP" w:bidi="hi-IN"/>
        </w:rPr>
        <w:t>)</w:t>
      </w:r>
      <w:r w:rsidR="0021301F">
        <w:rPr>
          <w:lang w:val="en-US" w:eastAsia="ja-JP" w:bidi="hi-IN"/>
        </w:rPr>
        <w:t xml:space="preserve"> with </w:t>
      </w:r>
      <w:r w:rsidR="0021301F" w:rsidRPr="0021301F">
        <w:rPr>
          <w:lang w:val="en-US" w:eastAsia="ja-JP" w:bidi="hi-IN"/>
        </w:rPr>
        <w:t>T</w:t>
      </w:r>
      <w:r w:rsidR="0021301F" w:rsidRPr="0021301F">
        <w:rPr>
          <w:vertAlign w:val="subscript"/>
          <w:lang w:val="en-US" w:eastAsia="ja-JP" w:bidi="hi-IN"/>
        </w:rPr>
        <w:t>SSB</w:t>
      </w:r>
      <w:r w:rsidR="0021301F" w:rsidRPr="0021301F">
        <w:rPr>
          <w:lang w:val="en-US" w:eastAsia="ja-JP" w:bidi="hi-IN"/>
        </w:rPr>
        <w:t xml:space="preserve"> </w:t>
      </w:r>
      <w:r w:rsidR="0021301F">
        <w:rPr>
          <w:lang w:val="en-US" w:eastAsia="ja-JP" w:bidi="hi-IN"/>
        </w:rPr>
        <w:t>= 20ms.</w:t>
      </w:r>
      <w:r w:rsidRPr="0021301F">
        <w:rPr>
          <w:lang w:val="en-US" w:eastAsia="ja-JP" w:bidi="hi-IN"/>
        </w:rPr>
        <w:t xml:space="preserve"> We can observe significant performance degradation </w:t>
      </w:r>
      <w:r w:rsidR="0021301F">
        <w:rPr>
          <w:lang w:val="en-US" w:eastAsia="ja-JP" w:bidi="hi-IN"/>
        </w:rPr>
        <w:t xml:space="preserve">for 8 Rx beams case </w:t>
      </w:r>
      <w:r w:rsidRPr="0021301F">
        <w:rPr>
          <w:lang w:val="en-US" w:eastAsia="ja-JP" w:bidi="hi-IN"/>
        </w:rPr>
        <w:t>in the area close to RRH. This happens because network uses non-relevant measurement report switching to non-optimal RRH.</w:t>
      </w:r>
    </w:p>
    <w:p w14:paraId="4CFF9A10" w14:textId="77777777" w:rsidR="001672D9" w:rsidRPr="0021301F" w:rsidRDefault="001672D9" w:rsidP="001672D9">
      <w:pPr>
        <w:rPr>
          <w:b/>
          <w:bCs/>
          <w:lang w:val="en-US" w:eastAsia="ja-JP" w:bidi="hi-IN"/>
        </w:rPr>
      </w:pPr>
      <w:r w:rsidRPr="0021301F">
        <w:rPr>
          <w:b/>
          <w:bCs/>
          <w:lang w:val="en-US" w:eastAsia="ja-JP" w:bidi="hi-IN"/>
        </w:rPr>
        <w:t>Observation 1: In uni-directional Scenario-A multiple UE Rx beams do not provide benefit comparing to single Rx beam.</w:t>
      </w:r>
    </w:p>
    <w:tbl>
      <w:tblPr>
        <w:tblStyle w:val="TableGrid"/>
        <w:tblW w:w="0" w:type="auto"/>
        <w:tblLook w:val="04A0" w:firstRow="1" w:lastRow="0" w:firstColumn="1" w:lastColumn="0" w:noHBand="0" w:noVBand="1"/>
      </w:tblPr>
      <w:tblGrid>
        <w:gridCol w:w="9629"/>
      </w:tblGrid>
      <w:tr w:rsidR="001672D9" w14:paraId="65AE75B4" w14:textId="77777777" w:rsidTr="009B0952">
        <w:tc>
          <w:tcPr>
            <w:tcW w:w="9629" w:type="dxa"/>
          </w:tcPr>
          <w:p w14:paraId="04C63CD2" w14:textId="77777777" w:rsidR="001672D9" w:rsidRDefault="001672D9" w:rsidP="009B0952">
            <w:pPr>
              <w:jc w:val="center"/>
              <w:rPr>
                <w:color w:val="FF0000"/>
                <w:lang w:eastAsia="ja-JP" w:bidi="hi-IN"/>
              </w:rPr>
            </w:pPr>
            <w:r w:rsidRPr="0029383D">
              <w:rPr>
                <w:noProof/>
                <w:color w:val="FF0000"/>
                <w:lang w:eastAsia="ja-JP" w:bidi="hi-IN"/>
              </w:rPr>
              <w:lastRenderedPageBreak/>
              <w:drawing>
                <wp:inline distT="0" distB="0" distL="0" distR="0" wp14:anchorId="6BC37F86" wp14:editId="460028F9">
                  <wp:extent cx="5248894" cy="21614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l="8260" r="5831"/>
                          <a:stretch/>
                        </pic:blipFill>
                        <pic:spPr bwMode="auto">
                          <a:xfrm>
                            <a:off x="0" y="0"/>
                            <a:ext cx="5249010" cy="2161540"/>
                          </a:xfrm>
                          <a:prstGeom prst="rect">
                            <a:avLst/>
                          </a:prstGeom>
                          <a:noFill/>
                          <a:ln>
                            <a:noFill/>
                          </a:ln>
                          <a:extLst>
                            <a:ext uri="{53640926-AAD7-44D8-BBD7-CCE9431645EC}">
                              <a14:shadowObscured xmlns:a14="http://schemas.microsoft.com/office/drawing/2010/main"/>
                            </a:ext>
                          </a:extLst>
                        </pic:spPr>
                      </pic:pic>
                    </a:graphicData>
                  </a:graphic>
                </wp:inline>
              </w:drawing>
            </w:r>
          </w:p>
          <w:p w14:paraId="4417F212" w14:textId="77777777" w:rsidR="001672D9" w:rsidRDefault="001672D9" w:rsidP="009B0952">
            <w:pPr>
              <w:jc w:val="center"/>
              <w:rPr>
                <w:color w:val="FF0000"/>
                <w:lang w:eastAsia="ja-JP" w:bidi="hi-IN"/>
              </w:rPr>
            </w:pPr>
            <w:r>
              <w:rPr>
                <w:rFonts w:ascii="Times-Roman" w:hAnsi="Times-Roman"/>
                <w:lang w:val="en-US"/>
              </w:rPr>
              <w:t>Figure 3. DL SNR along the track for the cases when one (blue curve) and eight (red curve) beams are used at the UE. L1-RSRP measurement report delay is considered (train moves from left to right)</w:t>
            </w:r>
          </w:p>
        </w:tc>
      </w:tr>
    </w:tbl>
    <w:p w14:paraId="6FAEBA89" w14:textId="1F2D4404" w:rsidR="001672D9" w:rsidRDefault="001672D9">
      <w:pPr>
        <w:pStyle w:val="Heading2"/>
      </w:pPr>
      <w:r>
        <w:t>Uni-directional Scenario-B</w:t>
      </w:r>
    </w:p>
    <w:p w14:paraId="2DBA0801" w14:textId="77777777" w:rsidR="005B098A" w:rsidRDefault="001672D9" w:rsidP="001672D9">
      <w:pPr>
        <w:rPr>
          <w:rFonts w:ascii="Times-Roman" w:hAnsi="Times-Roman" w:hint="eastAsia"/>
          <w:lang w:val="en-US"/>
        </w:rPr>
      </w:pPr>
      <w:r>
        <w:rPr>
          <w:rFonts w:ascii="Times-Roman" w:hAnsi="Times-Roman"/>
          <w:lang w:val="en-US"/>
        </w:rPr>
        <w:t xml:space="preserve">Figure </w:t>
      </w:r>
      <w:r w:rsidR="0021301F">
        <w:rPr>
          <w:rFonts w:ascii="Times-Roman" w:hAnsi="Times-Roman"/>
          <w:lang w:val="en-US"/>
        </w:rPr>
        <w:t>4</w:t>
      </w:r>
      <w:r>
        <w:rPr>
          <w:rFonts w:ascii="Times-Roman" w:hAnsi="Times-Roman"/>
          <w:lang w:val="en-US"/>
        </w:rPr>
        <w:t xml:space="preserve"> shows the comparison between DL SNR along the track for the case when one (red curve) and eight (blue curve) beams are used at the </w:t>
      </w:r>
      <w:r w:rsidR="007A0D48">
        <w:rPr>
          <w:rFonts w:ascii="Times-Roman" w:hAnsi="Times-Roman"/>
          <w:lang w:val="en-US"/>
        </w:rPr>
        <w:t>UE</w:t>
      </w:r>
      <w:r>
        <w:rPr>
          <w:rFonts w:ascii="Times-Roman" w:hAnsi="Times-Roman"/>
          <w:lang w:val="en-US"/>
        </w:rPr>
        <w:t xml:space="preserve">. </w:t>
      </w:r>
      <w:r w:rsidR="005B098A">
        <w:rPr>
          <w:rFonts w:ascii="Times-Roman" w:hAnsi="Times-Roman"/>
          <w:lang w:val="en-US"/>
        </w:rPr>
        <w:t xml:space="preserve">The comparison was made for the case of 2 Tx beams at RRH (Figure 4a) as it was proposed in [5] and for the case of 8 Tx beams (Figure 4b) to demonstrate the behavior under wider RRH coverage. </w:t>
      </w:r>
    </w:p>
    <w:p w14:paraId="1C478A37" w14:textId="692AF100" w:rsidR="001672D9" w:rsidRDefault="001672D9" w:rsidP="001672D9">
      <w:pPr>
        <w:rPr>
          <w:u w:val="single"/>
          <w:lang w:eastAsia="ja-JP" w:bidi="hi-IN"/>
        </w:rPr>
      </w:pPr>
    </w:p>
    <w:tbl>
      <w:tblPr>
        <w:tblStyle w:val="TableGrid"/>
        <w:tblW w:w="0" w:type="auto"/>
        <w:tblLook w:val="04A0" w:firstRow="1" w:lastRow="0" w:firstColumn="1" w:lastColumn="0" w:noHBand="0" w:noVBand="1"/>
      </w:tblPr>
      <w:tblGrid>
        <w:gridCol w:w="704"/>
        <w:gridCol w:w="8925"/>
      </w:tblGrid>
      <w:tr w:rsidR="00EB2891" w14:paraId="111AAB0A" w14:textId="77777777" w:rsidTr="00EB2891">
        <w:trPr>
          <w:trHeight w:val="2480"/>
        </w:trPr>
        <w:tc>
          <w:tcPr>
            <w:tcW w:w="704" w:type="dxa"/>
            <w:tcBorders>
              <w:bottom w:val="nil"/>
              <w:right w:val="nil"/>
            </w:tcBorders>
            <w:vAlign w:val="center"/>
          </w:tcPr>
          <w:p w14:paraId="3CDD5A54" w14:textId="7F565ED1" w:rsidR="00EB2891" w:rsidRDefault="00EB2891" w:rsidP="00EB2891">
            <w:pPr>
              <w:spacing w:after="0"/>
              <w:jc w:val="center"/>
              <w:rPr>
                <w:rFonts w:ascii="Times-Roman" w:hAnsi="Times-Roman" w:hint="eastAsia"/>
                <w:lang w:val="en-US"/>
              </w:rPr>
            </w:pPr>
          </w:p>
          <w:p w14:paraId="150771F0" w14:textId="4827AB5D" w:rsidR="00EB2891" w:rsidRDefault="00EB2891" w:rsidP="00EB2891">
            <w:pPr>
              <w:spacing w:before="0"/>
              <w:jc w:val="center"/>
              <w:rPr>
                <w:rFonts w:ascii="Times-Roman" w:hAnsi="Times-Roman" w:hint="eastAsia"/>
                <w:lang w:val="en-US"/>
              </w:rPr>
            </w:pPr>
            <w:r>
              <w:rPr>
                <w:rFonts w:ascii="Times-Roman" w:hAnsi="Times-Roman"/>
                <w:lang w:val="en-US"/>
              </w:rPr>
              <w:t>a)</w:t>
            </w:r>
          </w:p>
          <w:p w14:paraId="0F0304E5" w14:textId="77777777" w:rsidR="00EB2891" w:rsidRDefault="00EB2891" w:rsidP="00EB2891">
            <w:pPr>
              <w:jc w:val="center"/>
              <w:rPr>
                <w:u w:val="single"/>
                <w:lang w:eastAsia="ja-JP" w:bidi="hi-IN"/>
              </w:rPr>
            </w:pPr>
          </w:p>
        </w:tc>
        <w:tc>
          <w:tcPr>
            <w:tcW w:w="8925" w:type="dxa"/>
            <w:tcBorders>
              <w:left w:val="nil"/>
              <w:bottom w:val="nil"/>
            </w:tcBorders>
            <w:vAlign w:val="center"/>
          </w:tcPr>
          <w:p w14:paraId="3AACC552" w14:textId="7C1EB2A7" w:rsidR="00EB2891" w:rsidRDefault="00EB2891" w:rsidP="00EB2891">
            <w:pPr>
              <w:rPr>
                <w:u w:val="single"/>
                <w:lang w:eastAsia="ja-JP" w:bidi="hi-IN"/>
              </w:rPr>
            </w:pPr>
            <w:r w:rsidRPr="00EB2891">
              <w:rPr>
                <w:rFonts w:ascii="Times-Roman" w:hAnsi="Times-Roman" w:hint="eastAsia"/>
                <w:noProof/>
                <w:lang w:val="en-US"/>
              </w:rPr>
              <w:drawing>
                <wp:inline distT="0" distB="0" distL="0" distR="0" wp14:anchorId="40B89A9E" wp14:editId="0510733F">
                  <wp:extent cx="5188527" cy="2161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9410" r="5665"/>
                          <a:stretch/>
                        </pic:blipFill>
                        <pic:spPr bwMode="auto">
                          <a:xfrm>
                            <a:off x="0" y="0"/>
                            <a:ext cx="5188851" cy="216154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B2891" w14:paraId="04472C23" w14:textId="77777777" w:rsidTr="00EB2891">
        <w:trPr>
          <w:trHeight w:val="2480"/>
        </w:trPr>
        <w:tc>
          <w:tcPr>
            <w:tcW w:w="704" w:type="dxa"/>
            <w:tcBorders>
              <w:top w:val="nil"/>
              <w:bottom w:val="nil"/>
              <w:right w:val="nil"/>
            </w:tcBorders>
            <w:vAlign w:val="center"/>
          </w:tcPr>
          <w:p w14:paraId="709019AE" w14:textId="6DF26BA4" w:rsidR="00EB2891" w:rsidRDefault="00EB2891" w:rsidP="00EB2891">
            <w:pPr>
              <w:spacing w:before="0"/>
              <w:jc w:val="center"/>
              <w:rPr>
                <w:rFonts w:ascii="Times-Roman" w:hAnsi="Times-Roman" w:hint="eastAsia"/>
                <w:lang w:val="en-US"/>
              </w:rPr>
            </w:pPr>
            <w:r>
              <w:rPr>
                <w:rFonts w:ascii="Times-Roman" w:hAnsi="Times-Roman"/>
                <w:lang w:val="en-US"/>
              </w:rPr>
              <w:t>b)</w:t>
            </w:r>
          </w:p>
        </w:tc>
        <w:tc>
          <w:tcPr>
            <w:tcW w:w="8925" w:type="dxa"/>
            <w:tcBorders>
              <w:top w:val="nil"/>
              <w:left w:val="nil"/>
              <w:bottom w:val="nil"/>
            </w:tcBorders>
            <w:vAlign w:val="center"/>
          </w:tcPr>
          <w:p w14:paraId="7FF8BBBD" w14:textId="0A7C3F48" w:rsidR="00EB2891" w:rsidRDefault="00EB2891" w:rsidP="00EB2891">
            <w:pPr>
              <w:spacing w:after="0"/>
              <w:rPr>
                <w:rFonts w:ascii="Times-Roman" w:hAnsi="Times-Roman" w:hint="eastAsia"/>
                <w:lang w:val="en-US"/>
              </w:rPr>
            </w:pPr>
            <w:r w:rsidRPr="00EB2891">
              <w:rPr>
                <w:noProof/>
                <w:lang w:eastAsia="ja-JP" w:bidi="hi-IN"/>
              </w:rPr>
              <w:drawing>
                <wp:inline distT="0" distB="0" distL="0" distR="0" wp14:anchorId="5B946593" wp14:editId="6709AFFC">
                  <wp:extent cx="5160529" cy="21614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9751" r="5784"/>
                          <a:stretch/>
                        </pic:blipFill>
                        <pic:spPr bwMode="auto">
                          <a:xfrm>
                            <a:off x="0" y="0"/>
                            <a:ext cx="5160788" cy="216154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B2891" w14:paraId="568957F8" w14:textId="77777777" w:rsidTr="00EB2891">
        <w:trPr>
          <w:trHeight w:val="841"/>
        </w:trPr>
        <w:tc>
          <w:tcPr>
            <w:tcW w:w="9629" w:type="dxa"/>
            <w:gridSpan w:val="2"/>
            <w:tcBorders>
              <w:top w:val="nil"/>
            </w:tcBorders>
            <w:vAlign w:val="center"/>
          </w:tcPr>
          <w:p w14:paraId="3974F28A" w14:textId="77B9313D" w:rsidR="00EB2891" w:rsidRDefault="00EB2891" w:rsidP="00EB2891">
            <w:pPr>
              <w:jc w:val="center"/>
              <w:rPr>
                <w:rFonts w:ascii="Times-Roman" w:hAnsi="Times-Roman" w:hint="eastAsia"/>
                <w:lang w:val="en-US"/>
              </w:rPr>
            </w:pPr>
            <w:r>
              <w:rPr>
                <w:rFonts w:ascii="Times-Roman" w:hAnsi="Times-Roman"/>
                <w:lang w:val="en-US"/>
              </w:rPr>
              <w:t>Figure 4. DL SNR along the track for the cases when one (red curve) and eight (blue curve) beams are used at the UE. L1-RSRP measurement report delay is considered (train moves from left to right)</w:t>
            </w:r>
          </w:p>
        </w:tc>
      </w:tr>
    </w:tbl>
    <w:p w14:paraId="505F38DB" w14:textId="5B443A67" w:rsidR="0021301F" w:rsidRDefault="001510CA" w:rsidP="007A0D48">
      <w:pPr>
        <w:rPr>
          <w:color w:val="FF0000"/>
          <w:lang w:val="en-US" w:eastAsia="ja-JP" w:bidi="hi-IN"/>
        </w:rPr>
      </w:pPr>
      <w:r>
        <w:rPr>
          <w:rFonts w:eastAsiaTheme="minorEastAsia"/>
          <w:lang w:eastAsia="zh-CN"/>
        </w:rPr>
        <w:lastRenderedPageBreak/>
        <w:t xml:space="preserve">As we can see, considering more UE RX beams may provide better SNR. But even for the case of fixed Rx beam </w:t>
      </w:r>
      <w:r>
        <w:rPr>
          <w:rFonts w:ascii="Times-Roman" w:hAnsi="Times-Roman"/>
          <w:lang w:val="en-US"/>
        </w:rPr>
        <w:t xml:space="preserve">we already have sufficient link budget especially from the RRM perspective where the requirements for SNR are much lower than the demodulation requirements for high MCS used in our analysis, so we are more than fine with the SNR provided by single beam.  </w:t>
      </w:r>
    </w:p>
    <w:p w14:paraId="472066B7" w14:textId="3ACF058F" w:rsidR="001672D9" w:rsidRDefault="007A0D48" w:rsidP="001672D9">
      <w:pPr>
        <w:rPr>
          <w:b/>
          <w:bCs/>
          <w:lang w:val="en-US" w:eastAsia="ja-JP" w:bidi="hi-IN"/>
        </w:rPr>
      </w:pPr>
      <w:r w:rsidRPr="00622C25">
        <w:rPr>
          <w:b/>
          <w:bCs/>
          <w:lang w:val="en-US" w:eastAsia="ja-JP" w:bidi="hi-IN"/>
        </w:rPr>
        <w:t xml:space="preserve">Observation </w:t>
      </w:r>
      <w:r w:rsidR="00622C25">
        <w:rPr>
          <w:b/>
          <w:bCs/>
          <w:lang w:val="en-US" w:eastAsia="ja-JP" w:bidi="hi-IN"/>
        </w:rPr>
        <w:t>2</w:t>
      </w:r>
      <w:r w:rsidRPr="00622C25">
        <w:rPr>
          <w:b/>
          <w:bCs/>
          <w:lang w:val="en-US" w:eastAsia="ja-JP" w:bidi="hi-IN"/>
        </w:rPr>
        <w:t xml:space="preserve">: In uni-directional Scenario-B multiple UE Rx beams may provide </w:t>
      </w:r>
      <w:r w:rsidR="00D30EF9" w:rsidRPr="00622C25">
        <w:rPr>
          <w:b/>
          <w:bCs/>
          <w:lang w:val="en-US" w:eastAsia="ja-JP" w:bidi="hi-IN"/>
        </w:rPr>
        <w:t xml:space="preserve">better link budget on </w:t>
      </w:r>
      <w:r w:rsidR="001510CA">
        <w:rPr>
          <w:b/>
          <w:bCs/>
          <w:lang w:val="en-US" w:eastAsia="ja-JP" w:bidi="hi-IN"/>
        </w:rPr>
        <w:t xml:space="preserve">some parts of the </w:t>
      </w:r>
      <w:r w:rsidR="0021301F" w:rsidRPr="00622C25">
        <w:rPr>
          <w:b/>
          <w:bCs/>
          <w:lang w:val="en-US" w:eastAsia="ja-JP" w:bidi="hi-IN"/>
        </w:rPr>
        <w:t>distance</w:t>
      </w:r>
      <w:r w:rsidRPr="00622C25">
        <w:rPr>
          <w:b/>
          <w:bCs/>
          <w:lang w:val="en-US" w:eastAsia="ja-JP" w:bidi="hi-IN"/>
        </w:rPr>
        <w:t>.</w:t>
      </w:r>
      <w:r w:rsidR="00622C25" w:rsidRPr="00622C25">
        <w:rPr>
          <w:b/>
          <w:bCs/>
          <w:lang w:val="en-US" w:eastAsia="ja-JP" w:bidi="hi-IN"/>
        </w:rPr>
        <w:t xml:space="preserve"> But single Rx beam can still provide sufficient performance along the whole track</w:t>
      </w:r>
    </w:p>
    <w:p w14:paraId="727693F1" w14:textId="378C0FE3" w:rsidR="00622C25" w:rsidRPr="00622C25" w:rsidRDefault="00622C25" w:rsidP="007A0D48">
      <w:pPr>
        <w:rPr>
          <w:lang w:val="en-US" w:eastAsia="ja-JP" w:bidi="hi-IN"/>
        </w:rPr>
      </w:pPr>
      <w:r w:rsidRPr="00622C25">
        <w:rPr>
          <w:lang w:val="en-US" w:eastAsia="ja-JP" w:bidi="hi-IN"/>
        </w:rPr>
        <w:t xml:space="preserve">Based on the analysis above we can define the RRM requirements considering single </w:t>
      </w:r>
      <w:r w:rsidRPr="00622C25">
        <w:rPr>
          <w:rFonts w:ascii="Times-Roman" w:hAnsi="Times-Roman"/>
          <w:lang w:val="en-US"/>
        </w:rPr>
        <w:t>beam used for beam search.</w:t>
      </w:r>
    </w:p>
    <w:p w14:paraId="0C01B0BC" w14:textId="39D01D2E" w:rsidR="007A0D48" w:rsidRPr="00622C25" w:rsidRDefault="007A0D48" w:rsidP="007A0D48">
      <w:pPr>
        <w:rPr>
          <w:b/>
          <w:bCs/>
          <w:lang w:eastAsia="ja-JP" w:bidi="hi-IN"/>
        </w:rPr>
      </w:pPr>
      <w:r w:rsidRPr="00622C25">
        <w:rPr>
          <w:b/>
          <w:bCs/>
          <w:lang w:eastAsia="ja-JP" w:bidi="hi-IN"/>
        </w:rPr>
        <w:t xml:space="preserve">Proposal 1: </w:t>
      </w:r>
      <w:r w:rsidR="00622C25" w:rsidRPr="00622C25">
        <w:rPr>
          <w:b/>
          <w:bCs/>
          <w:lang w:eastAsia="ja-JP" w:bidi="hi-IN"/>
        </w:rPr>
        <w:t xml:space="preserve"> RAN4</w:t>
      </w:r>
      <w:r w:rsidRPr="00622C25">
        <w:rPr>
          <w:b/>
          <w:bCs/>
          <w:lang w:eastAsia="ja-JP" w:bidi="hi-IN"/>
        </w:rPr>
        <w:t xml:space="preserve"> to consider RX beam search scaling factor equal to 1 for RRM requirements in case of </w:t>
      </w:r>
      <w:r w:rsidR="00622C25" w:rsidRPr="00622C25">
        <w:rPr>
          <w:b/>
          <w:bCs/>
          <w:lang w:eastAsia="ja-JP" w:bidi="hi-IN"/>
        </w:rPr>
        <w:t xml:space="preserve">FR2 HST </w:t>
      </w:r>
      <w:r w:rsidRPr="00622C25">
        <w:rPr>
          <w:b/>
          <w:bCs/>
          <w:lang w:eastAsia="ja-JP" w:bidi="hi-IN"/>
        </w:rPr>
        <w:t>uni-directional deployment</w:t>
      </w:r>
      <w:r w:rsidR="00622C25" w:rsidRPr="00622C25">
        <w:rPr>
          <w:b/>
          <w:bCs/>
          <w:lang w:eastAsia="ja-JP" w:bidi="hi-IN"/>
        </w:rPr>
        <w:t xml:space="preserve"> </w:t>
      </w:r>
    </w:p>
    <w:p w14:paraId="37E5D9D0" w14:textId="49B56AD2" w:rsidR="007A0D48" w:rsidRDefault="007A0D48">
      <w:pPr>
        <w:pStyle w:val="Heading2"/>
      </w:pPr>
      <w:r>
        <w:t>Bi-directional deployment</w:t>
      </w:r>
    </w:p>
    <w:p w14:paraId="67C07773" w14:textId="063D6FB2" w:rsidR="007A0D48" w:rsidRPr="0021301F" w:rsidRDefault="00D30EF9" w:rsidP="0021301F">
      <w:pPr>
        <w:rPr>
          <w:lang w:eastAsia="ja-JP" w:bidi="hi-IN"/>
        </w:rPr>
      </w:pPr>
      <w:r>
        <w:rPr>
          <w:lang w:eastAsia="ja-JP" w:bidi="hi-IN"/>
        </w:rPr>
        <w:t xml:space="preserve">The </w:t>
      </w:r>
      <w:r>
        <w:rPr>
          <w:lang w:val="en-US" w:eastAsia="ja-JP" w:bidi="hi-IN"/>
        </w:rPr>
        <w:t>practicability of bi-directional deployment is discussed in [</w:t>
      </w:r>
      <w:r w:rsidR="001510CA">
        <w:rPr>
          <w:lang w:val="en-US" w:eastAsia="ja-JP" w:bidi="hi-IN"/>
        </w:rPr>
        <w:t>5</w:t>
      </w:r>
      <w:r>
        <w:rPr>
          <w:lang w:val="en-US" w:eastAsia="ja-JP" w:bidi="hi-IN"/>
        </w:rPr>
        <w:t>] and [</w:t>
      </w:r>
      <w:r w:rsidR="001510CA">
        <w:rPr>
          <w:lang w:val="en-US" w:eastAsia="ja-JP" w:bidi="hi-IN"/>
        </w:rPr>
        <w:t>6</w:t>
      </w:r>
      <w:r>
        <w:rPr>
          <w:lang w:val="en-US" w:eastAsia="ja-JP" w:bidi="hi-IN"/>
        </w:rPr>
        <w:t xml:space="preserve">] with the conclusion that it is better to consider only uni-directional deployment. </w:t>
      </w:r>
      <w:r>
        <w:rPr>
          <w:lang w:eastAsia="ja-JP" w:bidi="hi-IN"/>
        </w:rPr>
        <w:t xml:space="preserve">Anyway, from the perspective of discussion on the number of Rx beams to be used, similar conclusions can be made as in uni-directional deployment. </w:t>
      </w:r>
      <w:r w:rsidR="007A0D48" w:rsidRPr="00A778DA">
        <w:rPr>
          <w:lang w:eastAsia="ja-JP" w:bidi="hi-IN"/>
        </w:rPr>
        <w:t xml:space="preserve">Similar behaviour </w:t>
      </w:r>
      <w:r w:rsidR="001510CA">
        <w:rPr>
          <w:lang w:eastAsia="ja-JP" w:bidi="hi-IN"/>
        </w:rPr>
        <w:t>a</w:t>
      </w:r>
      <w:r>
        <w:rPr>
          <w:lang w:eastAsia="ja-JP" w:bidi="hi-IN"/>
        </w:rPr>
        <w:t xml:space="preserve">s in uni-directional case </w:t>
      </w:r>
      <w:r w:rsidR="007A0D48" w:rsidRPr="00A778DA">
        <w:rPr>
          <w:lang w:eastAsia="ja-JP" w:bidi="hi-IN"/>
        </w:rPr>
        <w:t>can be observed for bi-directional deployment both for Scenario-A and Scenario-B</w:t>
      </w:r>
      <w:r w:rsidR="007A0D48">
        <w:rPr>
          <w:lang w:eastAsia="ja-JP" w:bidi="hi-IN"/>
        </w:rPr>
        <w:t xml:space="preserve">. The only difference is that here we have both panel active and we should always consider </w:t>
      </w:r>
      <w:r w:rsidR="007A0D48" w:rsidRPr="00A778DA">
        <w:rPr>
          <w:lang w:eastAsia="ja-JP" w:bidi="hi-IN"/>
        </w:rPr>
        <w:t>R</w:t>
      </w:r>
      <w:r w:rsidR="0021301F">
        <w:rPr>
          <w:lang w:eastAsia="ja-JP" w:bidi="hi-IN"/>
        </w:rPr>
        <w:t>x</w:t>
      </w:r>
      <w:r w:rsidR="007A0D48" w:rsidRPr="00A778DA">
        <w:rPr>
          <w:lang w:eastAsia="ja-JP" w:bidi="hi-IN"/>
        </w:rPr>
        <w:t xml:space="preserve"> beam search scaling factor equal to 2</w:t>
      </w:r>
      <w:r>
        <w:rPr>
          <w:lang w:eastAsia="ja-JP" w:bidi="hi-IN"/>
        </w:rPr>
        <w:t xml:space="preserve"> </w:t>
      </w:r>
    </w:p>
    <w:p w14:paraId="5D47F9A2" w14:textId="43B31B14" w:rsidR="007A0D48" w:rsidRPr="00622C25" w:rsidRDefault="0021301F" w:rsidP="007A0D48">
      <w:pPr>
        <w:rPr>
          <w:b/>
          <w:bCs/>
          <w:lang w:eastAsia="ja-JP" w:bidi="hi-IN"/>
        </w:rPr>
      </w:pPr>
      <w:r w:rsidRPr="00622C25">
        <w:rPr>
          <w:b/>
          <w:bCs/>
          <w:lang w:eastAsia="ja-JP" w:bidi="hi-IN"/>
        </w:rPr>
        <w:t xml:space="preserve">Proposal </w:t>
      </w:r>
      <w:r w:rsidR="001510CA">
        <w:rPr>
          <w:b/>
          <w:bCs/>
          <w:lang w:eastAsia="ja-JP" w:bidi="hi-IN"/>
        </w:rPr>
        <w:t>2</w:t>
      </w:r>
      <w:r w:rsidRPr="00622C25">
        <w:rPr>
          <w:b/>
          <w:bCs/>
          <w:lang w:eastAsia="ja-JP" w:bidi="hi-IN"/>
        </w:rPr>
        <w:t>: UE to consider RX beam search scaling factor equal to 2 for RRM requirements in case of bi-directional deployment.</w:t>
      </w:r>
    </w:p>
    <w:p w14:paraId="06B0650C" w14:textId="77777777" w:rsidR="00F01182" w:rsidRPr="00146B4F" w:rsidRDefault="00F01182" w:rsidP="00F01182">
      <w:pPr>
        <w:pStyle w:val="Heading1"/>
      </w:pPr>
      <w:r w:rsidRPr="00146B4F">
        <w:t>Conclusion</w:t>
      </w:r>
    </w:p>
    <w:p w14:paraId="31952EBC" w14:textId="41832E94" w:rsidR="00622C25" w:rsidRPr="00096AA2" w:rsidRDefault="00622C25" w:rsidP="00622C25">
      <w:pPr>
        <w:jc w:val="both"/>
      </w:pPr>
      <w:r w:rsidRPr="00096AA2">
        <w:t xml:space="preserve">In this paper we </w:t>
      </w:r>
      <w:r>
        <w:t xml:space="preserve">provided our view on </w:t>
      </w:r>
      <w:r w:rsidRPr="00096AA2">
        <w:t xml:space="preserve">the number of UE RX beams </w:t>
      </w:r>
      <w:r>
        <w:t xml:space="preserve">to </w:t>
      </w:r>
      <w:r w:rsidRPr="00096AA2">
        <w:t>be considered by RRM group</w:t>
      </w:r>
      <w:r>
        <w:t>. The following proposal were made:</w:t>
      </w:r>
    </w:p>
    <w:p w14:paraId="1AEE0772" w14:textId="79A544A9" w:rsidR="00622C25" w:rsidRDefault="00622C25" w:rsidP="00622C25">
      <w:pPr>
        <w:rPr>
          <w:b/>
          <w:bCs/>
          <w:lang w:val="en-US" w:eastAsia="ja-JP" w:bidi="hi-IN"/>
        </w:rPr>
      </w:pPr>
      <w:r w:rsidRPr="0021301F">
        <w:rPr>
          <w:b/>
          <w:bCs/>
          <w:lang w:val="en-US" w:eastAsia="ja-JP" w:bidi="hi-IN"/>
        </w:rPr>
        <w:t>Observation 1: In uni-directional Scenario-A multiple UE Rx beams do not provide benefit comparing to single Rx beam.</w:t>
      </w:r>
    </w:p>
    <w:p w14:paraId="43C31745" w14:textId="77777777" w:rsidR="001510CA" w:rsidRDefault="001510CA" w:rsidP="001510CA">
      <w:pPr>
        <w:rPr>
          <w:b/>
          <w:bCs/>
          <w:lang w:val="en-US" w:eastAsia="ja-JP" w:bidi="hi-IN"/>
        </w:rPr>
      </w:pPr>
      <w:r w:rsidRPr="00622C25">
        <w:rPr>
          <w:b/>
          <w:bCs/>
          <w:lang w:val="en-US" w:eastAsia="ja-JP" w:bidi="hi-IN"/>
        </w:rPr>
        <w:t xml:space="preserve">Observation </w:t>
      </w:r>
      <w:r>
        <w:rPr>
          <w:b/>
          <w:bCs/>
          <w:lang w:val="en-US" w:eastAsia="ja-JP" w:bidi="hi-IN"/>
        </w:rPr>
        <w:t>2</w:t>
      </w:r>
      <w:r w:rsidRPr="00622C25">
        <w:rPr>
          <w:b/>
          <w:bCs/>
          <w:lang w:val="en-US" w:eastAsia="ja-JP" w:bidi="hi-IN"/>
        </w:rPr>
        <w:t xml:space="preserve">: In uni-directional Scenario-B multiple UE Rx beams may provide better link budget on </w:t>
      </w:r>
      <w:r>
        <w:rPr>
          <w:b/>
          <w:bCs/>
          <w:lang w:val="en-US" w:eastAsia="ja-JP" w:bidi="hi-IN"/>
        </w:rPr>
        <w:t xml:space="preserve">some parts of the </w:t>
      </w:r>
      <w:r w:rsidRPr="00622C25">
        <w:rPr>
          <w:b/>
          <w:bCs/>
          <w:lang w:val="en-US" w:eastAsia="ja-JP" w:bidi="hi-IN"/>
        </w:rPr>
        <w:t>distance. But single Rx beam can still provide sufficient performance along the whole track</w:t>
      </w:r>
    </w:p>
    <w:p w14:paraId="1094CAEE" w14:textId="24B4649B" w:rsidR="00622C25" w:rsidRDefault="00622C25" w:rsidP="00622C25">
      <w:pPr>
        <w:rPr>
          <w:b/>
          <w:bCs/>
          <w:lang w:eastAsia="ja-JP" w:bidi="hi-IN"/>
        </w:rPr>
      </w:pPr>
      <w:r w:rsidRPr="00622C25">
        <w:rPr>
          <w:b/>
          <w:bCs/>
          <w:lang w:eastAsia="ja-JP" w:bidi="hi-IN"/>
        </w:rPr>
        <w:t xml:space="preserve">Proposal 1:  RAN4 to consider RX beam search scaling factor equal to 1 for RRM requirements in case of FR2 HST uni-directional deployment </w:t>
      </w:r>
    </w:p>
    <w:p w14:paraId="23A9DFCC" w14:textId="77777777" w:rsidR="00622C25" w:rsidRPr="00622C25" w:rsidRDefault="00622C25" w:rsidP="00622C25">
      <w:pPr>
        <w:rPr>
          <w:b/>
          <w:bCs/>
          <w:lang w:eastAsia="ja-JP" w:bidi="hi-IN"/>
        </w:rPr>
      </w:pPr>
      <w:r w:rsidRPr="00622C25">
        <w:rPr>
          <w:b/>
          <w:bCs/>
          <w:lang w:eastAsia="ja-JP" w:bidi="hi-IN"/>
        </w:rPr>
        <w:t>Proposal 4: UE to consider RX beam search scaling factor equal to 2 for RRM requirements in case of bi-directional deployment.</w:t>
      </w:r>
    </w:p>
    <w:p w14:paraId="37845617" w14:textId="77777777" w:rsidR="00622C25" w:rsidRPr="00622C25" w:rsidRDefault="00622C25" w:rsidP="00622C25">
      <w:pPr>
        <w:rPr>
          <w:b/>
          <w:bCs/>
          <w:lang w:eastAsia="ja-JP" w:bidi="hi-IN"/>
        </w:rPr>
      </w:pPr>
    </w:p>
    <w:p w14:paraId="568A35A9" w14:textId="3B6E9BEA" w:rsidR="00902123" w:rsidRDefault="00F01182" w:rsidP="001510CA">
      <w:pPr>
        <w:pStyle w:val="Heading1"/>
      </w:pPr>
      <w:r w:rsidRPr="00146B4F">
        <w:t>References</w:t>
      </w:r>
    </w:p>
    <w:p w14:paraId="2E64F62A" w14:textId="77777777" w:rsidR="00902123" w:rsidRDefault="00902123" w:rsidP="00902123">
      <w:pPr>
        <w:widowControl w:val="0"/>
        <w:numPr>
          <w:ilvl w:val="0"/>
          <w:numId w:val="1"/>
        </w:numPr>
        <w:textAlignment w:val="auto"/>
      </w:pPr>
      <w:r w:rsidRPr="00902123">
        <w:t xml:space="preserve">R4-2108342 “WF on FR2 HST RRM requirements”, Nokia, Nokia Shanghai Bell, RAN4 #99-e, </w:t>
      </w:r>
      <w:proofErr w:type="gramStart"/>
      <w:r w:rsidRPr="00902123">
        <w:t>May,</w:t>
      </w:r>
      <w:proofErr w:type="gramEnd"/>
      <w:r w:rsidRPr="00902123">
        <w:t xml:space="preserve"> 2021</w:t>
      </w:r>
    </w:p>
    <w:p w14:paraId="5CB3CD43" w14:textId="61B9C26F" w:rsidR="00902123" w:rsidRDefault="00902123" w:rsidP="00902123">
      <w:pPr>
        <w:widowControl w:val="0"/>
        <w:numPr>
          <w:ilvl w:val="0"/>
          <w:numId w:val="1"/>
        </w:numPr>
        <w:textAlignment w:val="auto"/>
      </w:pPr>
      <w:r w:rsidRPr="00B40F24">
        <w:t xml:space="preserve">R4-2101267 </w:t>
      </w:r>
      <w:r w:rsidRPr="00564196">
        <w:t>“</w:t>
      </w:r>
      <w:r w:rsidRPr="00B40F24">
        <w:t>Deployment scenarios for HST in FR2</w:t>
      </w:r>
      <w:r w:rsidRPr="00564196">
        <w:t xml:space="preserve">”, </w:t>
      </w:r>
      <w:r w:rsidRPr="00B40F24">
        <w:t>Intel Corporation</w:t>
      </w:r>
      <w:r>
        <w:t>,</w:t>
      </w:r>
      <w:r w:rsidRPr="00564196">
        <w:t xml:space="preserve"> RAN</w:t>
      </w:r>
      <w:r>
        <w:t>4</w:t>
      </w:r>
      <w:r w:rsidRPr="00564196">
        <w:t xml:space="preserve"> #</w:t>
      </w:r>
      <w:r>
        <w:t>98</w:t>
      </w:r>
      <w:r w:rsidRPr="00564196">
        <w:t xml:space="preserve">e, </w:t>
      </w:r>
      <w:r w:rsidRPr="00B40F24">
        <w:t>25th Jan. – 05th Feb. 2021</w:t>
      </w:r>
    </w:p>
    <w:p w14:paraId="78D66B43" w14:textId="5E6D1BC7" w:rsidR="00902123" w:rsidRDefault="00902123" w:rsidP="00902123">
      <w:pPr>
        <w:widowControl w:val="0"/>
        <w:numPr>
          <w:ilvl w:val="0"/>
          <w:numId w:val="1"/>
        </w:numPr>
        <w:textAlignment w:val="auto"/>
      </w:pPr>
      <w:r w:rsidRPr="00CC5DB4">
        <w:rPr>
          <w:lang w:val="en-US"/>
        </w:rPr>
        <w:t>R4-2106503</w:t>
      </w:r>
      <w:r>
        <w:rPr>
          <w:lang w:val="en-US"/>
        </w:rPr>
        <w:t xml:space="preserve"> “</w:t>
      </w:r>
      <w:r w:rsidRPr="00CC5DB4">
        <w:rPr>
          <w:lang w:val="en-US"/>
        </w:rPr>
        <w:t>Discussion on FR2 HST deployment aspects</w:t>
      </w:r>
      <w:r>
        <w:rPr>
          <w:lang w:val="en-US"/>
        </w:rPr>
        <w:t>”,</w:t>
      </w:r>
      <w:r w:rsidRPr="00CC5DB4">
        <w:t xml:space="preserve"> </w:t>
      </w:r>
      <w:r w:rsidRPr="00B40F24">
        <w:t>Intel Corporation</w:t>
      </w:r>
      <w:r>
        <w:t>,</w:t>
      </w:r>
      <w:r w:rsidRPr="00564196">
        <w:t xml:space="preserve"> </w:t>
      </w:r>
      <w:r w:rsidRPr="00CC5DB4">
        <w:t xml:space="preserve">RAN4 #98-bis-e, </w:t>
      </w:r>
      <w:proofErr w:type="gramStart"/>
      <w:r w:rsidRPr="00CC5DB4">
        <w:t>April,</w:t>
      </w:r>
      <w:proofErr w:type="gramEnd"/>
      <w:r w:rsidRPr="00CC5DB4">
        <w:t xml:space="preserve"> 2021</w:t>
      </w:r>
    </w:p>
    <w:p w14:paraId="25D02C39" w14:textId="175FE4C2" w:rsidR="00902123" w:rsidRPr="00777245" w:rsidRDefault="00902123" w:rsidP="00902123">
      <w:pPr>
        <w:widowControl w:val="0"/>
        <w:numPr>
          <w:ilvl w:val="0"/>
          <w:numId w:val="1"/>
        </w:numPr>
        <w:jc w:val="both"/>
        <w:rPr>
          <w:lang w:val="en-US"/>
        </w:rPr>
      </w:pPr>
      <w:r w:rsidRPr="00CC5DB4">
        <w:t xml:space="preserve">R4-2106100 “WF on FR2 HST Deployment Scenario Analysis”, Samsung, RAN4 #98-bis-e, </w:t>
      </w:r>
      <w:proofErr w:type="gramStart"/>
      <w:r w:rsidRPr="00CC5DB4">
        <w:t>April,</w:t>
      </w:r>
      <w:proofErr w:type="gramEnd"/>
      <w:r w:rsidRPr="00CC5DB4">
        <w:t xml:space="preserve"> 2021</w:t>
      </w:r>
    </w:p>
    <w:p w14:paraId="2B03D1E2" w14:textId="77777777" w:rsidR="005B098A" w:rsidRDefault="005B098A" w:rsidP="005B098A">
      <w:pPr>
        <w:widowControl w:val="0"/>
        <w:numPr>
          <w:ilvl w:val="0"/>
          <w:numId w:val="1"/>
        </w:numPr>
        <w:textAlignment w:val="auto"/>
      </w:pPr>
      <w:r>
        <w:rPr>
          <w:lang w:val="en-US"/>
        </w:rPr>
        <w:t>R4-</w:t>
      </w:r>
      <w:r w:rsidRPr="00966C02">
        <w:rPr>
          <w:lang w:val="en-US"/>
        </w:rPr>
        <w:t xml:space="preserve">2110953 </w:t>
      </w:r>
      <w:r>
        <w:rPr>
          <w:lang w:val="en-US"/>
        </w:rPr>
        <w:t>“</w:t>
      </w:r>
      <w:r w:rsidRPr="001672D9">
        <w:rPr>
          <w:lang w:val="en-US"/>
        </w:rPr>
        <w:t>Discussion on Scenario-B deployment aspects</w:t>
      </w:r>
      <w:r>
        <w:rPr>
          <w:lang w:val="en-US"/>
        </w:rPr>
        <w:t xml:space="preserve">”, </w:t>
      </w:r>
      <w:r w:rsidRPr="00B40F24">
        <w:t>Intel Corporation</w:t>
      </w:r>
      <w:r>
        <w:t>,</w:t>
      </w:r>
      <w:r w:rsidRPr="00564196">
        <w:t xml:space="preserve"> </w:t>
      </w:r>
      <w:r w:rsidRPr="00CC5DB4">
        <w:t>RAN4 #9</w:t>
      </w:r>
      <w:r>
        <w:t>9</w:t>
      </w:r>
      <w:r w:rsidRPr="00CC5DB4">
        <w:t xml:space="preserve">-e, </w:t>
      </w:r>
      <w:proofErr w:type="gramStart"/>
      <w:r>
        <w:t>May</w:t>
      </w:r>
      <w:r w:rsidRPr="00CC5DB4">
        <w:t>,</w:t>
      </w:r>
      <w:proofErr w:type="gramEnd"/>
      <w:r w:rsidRPr="00CC5DB4">
        <w:t xml:space="preserve"> 2021</w:t>
      </w:r>
    </w:p>
    <w:p w14:paraId="1ACF828D" w14:textId="66F54783" w:rsidR="00902123" w:rsidRPr="00CC5DB4" w:rsidRDefault="00777245" w:rsidP="001510CA">
      <w:pPr>
        <w:widowControl w:val="0"/>
        <w:numPr>
          <w:ilvl w:val="0"/>
          <w:numId w:val="1"/>
        </w:numPr>
        <w:textAlignment w:val="auto"/>
      </w:pPr>
      <w:r>
        <w:rPr>
          <w:lang w:val="en-US"/>
        </w:rPr>
        <w:t>R4-</w:t>
      </w:r>
      <w:r w:rsidRPr="00966C02">
        <w:rPr>
          <w:lang w:val="en-US"/>
        </w:rPr>
        <w:t>2110952</w:t>
      </w:r>
      <w:r w:rsidRPr="00966C02">
        <w:rPr>
          <w:color w:val="FF0000"/>
          <w:lang w:val="en-US"/>
        </w:rPr>
        <w:t xml:space="preserve"> </w:t>
      </w:r>
      <w:r>
        <w:rPr>
          <w:lang w:val="en-US"/>
        </w:rPr>
        <w:t>“</w:t>
      </w:r>
      <w:r w:rsidRPr="001672D9">
        <w:rPr>
          <w:lang w:val="en-US"/>
        </w:rPr>
        <w:t>Discussion on Scenario-</w:t>
      </w:r>
      <w:r>
        <w:rPr>
          <w:lang w:val="en-US"/>
        </w:rPr>
        <w:t>A</w:t>
      </w:r>
      <w:r w:rsidRPr="001672D9">
        <w:rPr>
          <w:lang w:val="en-US"/>
        </w:rPr>
        <w:t xml:space="preserve"> deployment aspects</w:t>
      </w:r>
      <w:r>
        <w:rPr>
          <w:lang w:val="en-US"/>
        </w:rPr>
        <w:t xml:space="preserve">”, </w:t>
      </w:r>
      <w:r w:rsidRPr="00B40F24">
        <w:t>Intel Corporation</w:t>
      </w:r>
      <w:r>
        <w:t>,</w:t>
      </w:r>
      <w:r w:rsidRPr="00564196">
        <w:t xml:space="preserve"> </w:t>
      </w:r>
      <w:r w:rsidRPr="00CC5DB4">
        <w:t>RAN4 #9</w:t>
      </w:r>
      <w:r>
        <w:t>9</w:t>
      </w:r>
      <w:r w:rsidRPr="00CC5DB4">
        <w:t xml:space="preserve">-e, </w:t>
      </w:r>
      <w:proofErr w:type="gramStart"/>
      <w:r>
        <w:t>May</w:t>
      </w:r>
      <w:r w:rsidRPr="00CC5DB4">
        <w:t>,</w:t>
      </w:r>
      <w:proofErr w:type="gramEnd"/>
      <w:r w:rsidRPr="00CC5DB4">
        <w:t xml:space="preserve"> 2021</w:t>
      </w:r>
    </w:p>
    <w:p w14:paraId="702BD5BE" w14:textId="77777777" w:rsidR="00902123" w:rsidRDefault="00902123" w:rsidP="00902123">
      <w:pPr>
        <w:widowControl w:val="0"/>
        <w:jc w:val="both"/>
      </w:pPr>
    </w:p>
    <w:p w14:paraId="30B4DD8D" w14:textId="77777777" w:rsidR="00902123" w:rsidRDefault="00902123" w:rsidP="00902123">
      <w:pPr>
        <w:widowControl w:val="0"/>
        <w:jc w:val="both"/>
        <w:rPr>
          <w:lang w:val="en-US"/>
        </w:rPr>
      </w:pPr>
    </w:p>
    <w:p w14:paraId="2B5A8D8C" w14:textId="4B0192F9" w:rsidR="00902123" w:rsidRPr="00902123" w:rsidRDefault="00902123" w:rsidP="00902123">
      <w:pPr>
        <w:widowControl w:val="0"/>
        <w:textAlignment w:val="auto"/>
        <w:rPr>
          <w:lang w:val="en-US"/>
        </w:rPr>
      </w:pPr>
    </w:p>
    <w:sectPr w:rsidR="00902123" w:rsidRPr="00902123" w:rsidSect="00F011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8A2A3" w14:textId="77777777" w:rsidR="003D7DDE" w:rsidRDefault="003D7DDE" w:rsidP="00F01182">
      <w:pPr>
        <w:spacing w:before="0" w:after="0"/>
      </w:pPr>
      <w:r>
        <w:separator/>
      </w:r>
    </w:p>
  </w:endnote>
  <w:endnote w:type="continuationSeparator" w:id="0">
    <w:p w14:paraId="393CFA70" w14:textId="77777777" w:rsidR="003D7DDE" w:rsidRDefault="003D7DDE"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747E4C" w:rsidRDefault="003D7DD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47E4C" w:rsidRDefault="0082063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747E4C" w:rsidRPr="00DB1239" w:rsidRDefault="003D7DD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FA5DAC" w:rsidRDefault="008206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AEDAC" w14:textId="77777777" w:rsidR="003D7DDE" w:rsidRDefault="003D7DDE" w:rsidP="00F01182">
      <w:pPr>
        <w:spacing w:before="0" w:after="0"/>
      </w:pPr>
      <w:r>
        <w:separator/>
      </w:r>
    </w:p>
  </w:footnote>
  <w:footnote w:type="continuationSeparator" w:id="0">
    <w:p w14:paraId="04609E55" w14:textId="77777777" w:rsidR="003D7DDE" w:rsidRDefault="003D7DDE"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747E4C" w:rsidRDefault="003D7DD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FA5DAC" w:rsidRDefault="008206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FA5DAC" w:rsidRDefault="008206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F227997"/>
    <w:multiLevelType w:val="hybridMultilevel"/>
    <w:tmpl w:val="B5005126"/>
    <w:lvl w:ilvl="0" w:tplc="B024EA2E">
      <w:start w:val="1"/>
      <w:numFmt w:val="bullet"/>
      <w:lvlText w:val="o"/>
      <w:lvlJc w:val="left"/>
      <w:pPr>
        <w:tabs>
          <w:tab w:val="num" w:pos="720"/>
        </w:tabs>
        <w:ind w:left="720" w:hanging="360"/>
      </w:pPr>
      <w:rPr>
        <w:rFonts w:ascii="Courier New" w:hAnsi="Courier New" w:hint="default"/>
      </w:rPr>
    </w:lvl>
    <w:lvl w:ilvl="1" w:tplc="8A50B89E">
      <w:start w:val="1"/>
      <w:numFmt w:val="bullet"/>
      <w:lvlText w:val="o"/>
      <w:lvlJc w:val="left"/>
      <w:pPr>
        <w:tabs>
          <w:tab w:val="num" w:pos="1440"/>
        </w:tabs>
        <w:ind w:left="1440" w:hanging="360"/>
      </w:pPr>
      <w:rPr>
        <w:rFonts w:ascii="Courier New" w:hAnsi="Courier New" w:hint="default"/>
      </w:rPr>
    </w:lvl>
    <w:lvl w:ilvl="2" w:tplc="3DEE43BE">
      <w:numFmt w:val="bullet"/>
      <w:lvlText w:val="•"/>
      <w:lvlJc w:val="left"/>
      <w:pPr>
        <w:tabs>
          <w:tab w:val="num" w:pos="2160"/>
        </w:tabs>
        <w:ind w:left="2160" w:hanging="360"/>
      </w:pPr>
      <w:rPr>
        <w:rFonts w:ascii="Arial" w:hAnsi="Arial" w:hint="default"/>
      </w:rPr>
    </w:lvl>
    <w:lvl w:ilvl="3" w:tplc="27AA30E0">
      <w:numFmt w:val="bullet"/>
      <w:lvlText w:val="•"/>
      <w:lvlJc w:val="left"/>
      <w:pPr>
        <w:tabs>
          <w:tab w:val="num" w:pos="2880"/>
        </w:tabs>
        <w:ind w:left="2880" w:hanging="360"/>
      </w:pPr>
      <w:rPr>
        <w:rFonts w:ascii="Arial" w:hAnsi="Arial" w:hint="default"/>
      </w:rPr>
    </w:lvl>
    <w:lvl w:ilvl="4" w:tplc="52B45C9A" w:tentative="1">
      <w:start w:val="1"/>
      <w:numFmt w:val="bullet"/>
      <w:lvlText w:val="o"/>
      <w:lvlJc w:val="left"/>
      <w:pPr>
        <w:tabs>
          <w:tab w:val="num" w:pos="3600"/>
        </w:tabs>
        <w:ind w:left="3600" w:hanging="360"/>
      </w:pPr>
      <w:rPr>
        <w:rFonts w:ascii="Courier New" w:hAnsi="Courier New" w:hint="default"/>
      </w:rPr>
    </w:lvl>
    <w:lvl w:ilvl="5" w:tplc="D5DA9C1C" w:tentative="1">
      <w:start w:val="1"/>
      <w:numFmt w:val="bullet"/>
      <w:lvlText w:val="o"/>
      <w:lvlJc w:val="left"/>
      <w:pPr>
        <w:tabs>
          <w:tab w:val="num" w:pos="4320"/>
        </w:tabs>
        <w:ind w:left="4320" w:hanging="360"/>
      </w:pPr>
      <w:rPr>
        <w:rFonts w:ascii="Courier New" w:hAnsi="Courier New" w:hint="default"/>
      </w:rPr>
    </w:lvl>
    <w:lvl w:ilvl="6" w:tplc="5C6C1A0E" w:tentative="1">
      <w:start w:val="1"/>
      <w:numFmt w:val="bullet"/>
      <w:lvlText w:val="o"/>
      <w:lvlJc w:val="left"/>
      <w:pPr>
        <w:tabs>
          <w:tab w:val="num" w:pos="5040"/>
        </w:tabs>
        <w:ind w:left="5040" w:hanging="360"/>
      </w:pPr>
      <w:rPr>
        <w:rFonts w:ascii="Courier New" w:hAnsi="Courier New" w:hint="default"/>
      </w:rPr>
    </w:lvl>
    <w:lvl w:ilvl="7" w:tplc="070488C8" w:tentative="1">
      <w:start w:val="1"/>
      <w:numFmt w:val="bullet"/>
      <w:lvlText w:val="o"/>
      <w:lvlJc w:val="left"/>
      <w:pPr>
        <w:tabs>
          <w:tab w:val="num" w:pos="5760"/>
        </w:tabs>
        <w:ind w:left="5760" w:hanging="360"/>
      </w:pPr>
      <w:rPr>
        <w:rFonts w:ascii="Courier New" w:hAnsi="Courier New" w:hint="default"/>
      </w:rPr>
    </w:lvl>
    <w:lvl w:ilvl="8" w:tplc="DA04624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47973010"/>
    <w:multiLevelType w:val="hybridMultilevel"/>
    <w:tmpl w:val="40BE467C"/>
    <w:lvl w:ilvl="0" w:tplc="5D04F6A0">
      <w:start w:val="1"/>
      <w:numFmt w:val="bullet"/>
      <w:lvlText w:val="o"/>
      <w:lvlJc w:val="left"/>
      <w:pPr>
        <w:tabs>
          <w:tab w:val="num" w:pos="720"/>
        </w:tabs>
        <w:ind w:left="720" w:hanging="360"/>
      </w:pPr>
      <w:rPr>
        <w:rFonts w:ascii="Courier New" w:hAnsi="Courier New" w:hint="default"/>
      </w:rPr>
    </w:lvl>
    <w:lvl w:ilvl="1" w:tplc="0738468A">
      <w:start w:val="1"/>
      <w:numFmt w:val="bullet"/>
      <w:lvlText w:val="o"/>
      <w:lvlJc w:val="left"/>
      <w:pPr>
        <w:tabs>
          <w:tab w:val="num" w:pos="1440"/>
        </w:tabs>
        <w:ind w:left="1440" w:hanging="360"/>
      </w:pPr>
      <w:rPr>
        <w:rFonts w:ascii="Courier New" w:hAnsi="Courier New" w:hint="default"/>
      </w:rPr>
    </w:lvl>
    <w:lvl w:ilvl="2" w:tplc="B26C663E">
      <w:numFmt w:val="bullet"/>
      <w:lvlText w:val="•"/>
      <w:lvlJc w:val="left"/>
      <w:pPr>
        <w:tabs>
          <w:tab w:val="num" w:pos="2160"/>
        </w:tabs>
        <w:ind w:left="2160" w:hanging="360"/>
      </w:pPr>
      <w:rPr>
        <w:rFonts w:ascii="Arial" w:hAnsi="Arial" w:hint="default"/>
      </w:rPr>
    </w:lvl>
    <w:lvl w:ilvl="3" w:tplc="CE2E3A8E">
      <w:numFmt w:val="bullet"/>
      <w:lvlText w:val="•"/>
      <w:lvlJc w:val="left"/>
      <w:pPr>
        <w:tabs>
          <w:tab w:val="num" w:pos="2880"/>
        </w:tabs>
        <w:ind w:left="2880" w:hanging="360"/>
      </w:pPr>
      <w:rPr>
        <w:rFonts w:ascii="Arial" w:hAnsi="Arial" w:hint="default"/>
      </w:rPr>
    </w:lvl>
    <w:lvl w:ilvl="4" w:tplc="AB1493CC" w:tentative="1">
      <w:start w:val="1"/>
      <w:numFmt w:val="bullet"/>
      <w:lvlText w:val="o"/>
      <w:lvlJc w:val="left"/>
      <w:pPr>
        <w:tabs>
          <w:tab w:val="num" w:pos="3600"/>
        </w:tabs>
        <w:ind w:left="3600" w:hanging="360"/>
      </w:pPr>
      <w:rPr>
        <w:rFonts w:ascii="Courier New" w:hAnsi="Courier New" w:hint="default"/>
      </w:rPr>
    </w:lvl>
    <w:lvl w:ilvl="5" w:tplc="79BA4A64" w:tentative="1">
      <w:start w:val="1"/>
      <w:numFmt w:val="bullet"/>
      <w:lvlText w:val="o"/>
      <w:lvlJc w:val="left"/>
      <w:pPr>
        <w:tabs>
          <w:tab w:val="num" w:pos="4320"/>
        </w:tabs>
        <w:ind w:left="4320" w:hanging="360"/>
      </w:pPr>
      <w:rPr>
        <w:rFonts w:ascii="Courier New" w:hAnsi="Courier New" w:hint="default"/>
      </w:rPr>
    </w:lvl>
    <w:lvl w:ilvl="6" w:tplc="3BA46008" w:tentative="1">
      <w:start w:val="1"/>
      <w:numFmt w:val="bullet"/>
      <w:lvlText w:val="o"/>
      <w:lvlJc w:val="left"/>
      <w:pPr>
        <w:tabs>
          <w:tab w:val="num" w:pos="5040"/>
        </w:tabs>
        <w:ind w:left="5040" w:hanging="360"/>
      </w:pPr>
      <w:rPr>
        <w:rFonts w:ascii="Courier New" w:hAnsi="Courier New" w:hint="default"/>
      </w:rPr>
    </w:lvl>
    <w:lvl w:ilvl="7" w:tplc="75AA58BC" w:tentative="1">
      <w:start w:val="1"/>
      <w:numFmt w:val="bullet"/>
      <w:lvlText w:val="o"/>
      <w:lvlJc w:val="left"/>
      <w:pPr>
        <w:tabs>
          <w:tab w:val="num" w:pos="5760"/>
        </w:tabs>
        <w:ind w:left="5760" w:hanging="360"/>
      </w:pPr>
      <w:rPr>
        <w:rFonts w:ascii="Courier New" w:hAnsi="Courier New" w:hint="default"/>
      </w:rPr>
    </w:lvl>
    <w:lvl w:ilvl="8" w:tplc="BE3EF100"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5463223B"/>
    <w:multiLevelType w:val="hybridMultilevel"/>
    <w:tmpl w:val="DB280EAC"/>
    <w:lvl w:ilvl="0" w:tplc="1F704C74">
      <w:start w:val="1"/>
      <w:numFmt w:val="bullet"/>
      <w:lvlText w:val=""/>
      <w:lvlJc w:val="left"/>
      <w:pPr>
        <w:tabs>
          <w:tab w:val="num" w:pos="720"/>
        </w:tabs>
        <w:ind w:left="720" w:hanging="360"/>
      </w:pPr>
      <w:rPr>
        <w:rFonts w:ascii="Wingdings" w:hAnsi="Wingdings" w:hint="default"/>
      </w:rPr>
    </w:lvl>
    <w:lvl w:ilvl="1" w:tplc="6316AED2">
      <w:numFmt w:val="bullet"/>
      <w:lvlText w:val="o"/>
      <w:lvlJc w:val="left"/>
      <w:pPr>
        <w:tabs>
          <w:tab w:val="num" w:pos="1440"/>
        </w:tabs>
        <w:ind w:left="1440" w:hanging="360"/>
      </w:pPr>
      <w:rPr>
        <w:rFonts w:ascii="Courier New" w:hAnsi="Courier New" w:hint="default"/>
      </w:rPr>
    </w:lvl>
    <w:lvl w:ilvl="2" w:tplc="5E14AE42">
      <w:numFmt w:val="bullet"/>
      <w:lvlText w:val=""/>
      <w:lvlJc w:val="left"/>
      <w:pPr>
        <w:tabs>
          <w:tab w:val="num" w:pos="2160"/>
        </w:tabs>
        <w:ind w:left="2160" w:hanging="360"/>
      </w:pPr>
      <w:rPr>
        <w:rFonts w:ascii="Wingdings" w:hAnsi="Wingdings" w:hint="default"/>
      </w:rPr>
    </w:lvl>
    <w:lvl w:ilvl="3" w:tplc="CE460368" w:tentative="1">
      <w:start w:val="1"/>
      <w:numFmt w:val="bullet"/>
      <w:lvlText w:val=""/>
      <w:lvlJc w:val="left"/>
      <w:pPr>
        <w:tabs>
          <w:tab w:val="num" w:pos="2880"/>
        </w:tabs>
        <w:ind w:left="2880" w:hanging="360"/>
      </w:pPr>
      <w:rPr>
        <w:rFonts w:ascii="Wingdings" w:hAnsi="Wingdings" w:hint="default"/>
      </w:rPr>
    </w:lvl>
    <w:lvl w:ilvl="4" w:tplc="125CA7A8" w:tentative="1">
      <w:start w:val="1"/>
      <w:numFmt w:val="bullet"/>
      <w:lvlText w:val=""/>
      <w:lvlJc w:val="left"/>
      <w:pPr>
        <w:tabs>
          <w:tab w:val="num" w:pos="3600"/>
        </w:tabs>
        <w:ind w:left="3600" w:hanging="360"/>
      </w:pPr>
      <w:rPr>
        <w:rFonts w:ascii="Wingdings" w:hAnsi="Wingdings" w:hint="default"/>
      </w:rPr>
    </w:lvl>
    <w:lvl w:ilvl="5" w:tplc="85EAE274" w:tentative="1">
      <w:start w:val="1"/>
      <w:numFmt w:val="bullet"/>
      <w:lvlText w:val=""/>
      <w:lvlJc w:val="left"/>
      <w:pPr>
        <w:tabs>
          <w:tab w:val="num" w:pos="4320"/>
        </w:tabs>
        <w:ind w:left="4320" w:hanging="360"/>
      </w:pPr>
      <w:rPr>
        <w:rFonts w:ascii="Wingdings" w:hAnsi="Wingdings" w:hint="default"/>
      </w:rPr>
    </w:lvl>
    <w:lvl w:ilvl="6" w:tplc="24FC5750" w:tentative="1">
      <w:start w:val="1"/>
      <w:numFmt w:val="bullet"/>
      <w:lvlText w:val=""/>
      <w:lvlJc w:val="left"/>
      <w:pPr>
        <w:tabs>
          <w:tab w:val="num" w:pos="5040"/>
        </w:tabs>
        <w:ind w:left="5040" w:hanging="360"/>
      </w:pPr>
      <w:rPr>
        <w:rFonts w:ascii="Wingdings" w:hAnsi="Wingdings" w:hint="default"/>
      </w:rPr>
    </w:lvl>
    <w:lvl w:ilvl="7" w:tplc="EBEEB530" w:tentative="1">
      <w:start w:val="1"/>
      <w:numFmt w:val="bullet"/>
      <w:lvlText w:val=""/>
      <w:lvlJc w:val="left"/>
      <w:pPr>
        <w:tabs>
          <w:tab w:val="num" w:pos="5760"/>
        </w:tabs>
        <w:ind w:left="5760" w:hanging="360"/>
      </w:pPr>
      <w:rPr>
        <w:rFonts w:ascii="Wingdings" w:hAnsi="Wingdings" w:hint="default"/>
      </w:rPr>
    </w:lvl>
    <w:lvl w:ilvl="8" w:tplc="9F6A304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AD620E"/>
    <w:multiLevelType w:val="hybridMultilevel"/>
    <w:tmpl w:val="090682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oofState w:grammar="clean"/>
  <w:defaultTabStop w:val="708"/>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96AA2"/>
    <w:rsid w:val="000A531F"/>
    <w:rsid w:val="000C591A"/>
    <w:rsid w:val="001510CA"/>
    <w:rsid w:val="001672D9"/>
    <w:rsid w:val="001C2156"/>
    <w:rsid w:val="0021301F"/>
    <w:rsid w:val="0029383D"/>
    <w:rsid w:val="002F61C5"/>
    <w:rsid w:val="00323E27"/>
    <w:rsid w:val="00345C38"/>
    <w:rsid w:val="003C767B"/>
    <w:rsid w:val="003C7EE1"/>
    <w:rsid w:val="003D7DDE"/>
    <w:rsid w:val="003E598B"/>
    <w:rsid w:val="0044696A"/>
    <w:rsid w:val="004707CB"/>
    <w:rsid w:val="004A2C7A"/>
    <w:rsid w:val="004A788A"/>
    <w:rsid w:val="005235E1"/>
    <w:rsid w:val="00571295"/>
    <w:rsid w:val="005B098A"/>
    <w:rsid w:val="00622C25"/>
    <w:rsid w:val="00667EDE"/>
    <w:rsid w:val="00670D48"/>
    <w:rsid w:val="00777245"/>
    <w:rsid w:val="007A0D48"/>
    <w:rsid w:val="007A2CF6"/>
    <w:rsid w:val="0082063B"/>
    <w:rsid w:val="0089734D"/>
    <w:rsid w:val="008B6914"/>
    <w:rsid w:val="008F4BF4"/>
    <w:rsid w:val="00902123"/>
    <w:rsid w:val="00966C02"/>
    <w:rsid w:val="00A6167D"/>
    <w:rsid w:val="00A778DA"/>
    <w:rsid w:val="00AB081E"/>
    <w:rsid w:val="00AC155B"/>
    <w:rsid w:val="00AD511C"/>
    <w:rsid w:val="00B26279"/>
    <w:rsid w:val="00BB3F09"/>
    <w:rsid w:val="00C26BC2"/>
    <w:rsid w:val="00C65EF3"/>
    <w:rsid w:val="00D30EF9"/>
    <w:rsid w:val="00D959E0"/>
    <w:rsid w:val="00EB2891"/>
    <w:rsid w:val="00F01182"/>
    <w:rsid w:val="00F30958"/>
    <w:rsid w:val="00F76D35"/>
    <w:rsid w:val="00F94E10"/>
    <w:rsid w:val="00FE4845"/>
    <w:rsid w:val="00FE4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paragraph" w:styleId="BalloonText">
    <w:name w:val="Balloon Text"/>
    <w:basedOn w:val="Normal"/>
    <w:link w:val="BalloonTextChar"/>
    <w:uiPriority w:val="99"/>
    <w:semiHidden/>
    <w:unhideWhenUsed/>
    <w:rsid w:val="005235E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5E1"/>
    <w:rPr>
      <w:rFonts w:ascii="Segoe UI" w:eastAsia="SimSun" w:hAnsi="Segoe UI" w:cs="Segoe UI"/>
      <w:sz w:val="18"/>
      <w:szCs w:val="18"/>
      <w:lang w:val="en-GB"/>
    </w:rPr>
  </w:style>
  <w:style w:type="table" w:styleId="TableGrid">
    <w:name w:val="Table Grid"/>
    <w:basedOn w:val="TableNormal"/>
    <w:uiPriority w:val="39"/>
    <w:rsid w:val="00667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7EDE"/>
    <w:pPr>
      <w:overflowPunct/>
      <w:autoSpaceDE/>
      <w:autoSpaceDN/>
      <w:adjustRightInd/>
      <w:spacing w:before="0" w:after="0"/>
      <w:ind w:left="720"/>
      <w:contextualSpacing/>
      <w:textAlignment w:val="auto"/>
    </w:pPr>
    <w:rPr>
      <w:rFonts w:eastAsia="Times New Roman"/>
      <w:sz w:val="24"/>
      <w:szCs w:val="24"/>
      <w:lang w:val="en-US"/>
    </w:rPr>
  </w:style>
  <w:style w:type="paragraph" w:styleId="NormalWeb">
    <w:name w:val="Normal (Web)"/>
    <w:basedOn w:val="Normal"/>
    <w:uiPriority w:val="99"/>
    <w:semiHidden/>
    <w:unhideWhenUsed/>
    <w:rsid w:val="00902123"/>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716438">
      <w:bodyDiv w:val="1"/>
      <w:marLeft w:val="0"/>
      <w:marRight w:val="0"/>
      <w:marTop w:val="0"/>
      <w:marBottom w:val="0"/>
      <w:divBdr>
        <w:top w:val="none" w:sz="0" w:space="0" w:color="auto"/>
        <w:left w:val="none" w:sz="0" w:space="0" w:color="auto"/>
        <w:bottom w:val="none" w:sz="0" w:space="0" w:color="auto"/>
        <w:right w:val="none" w:sz="0" w:space="0" w:color="auto"/>
      </w:divBdr>
      <w:divsChild>
        <w:div w:id="961115365">
          <w:marLeft w:val="1080"/>
          <w:marRight w:val="0"/>
          <w:marTop w:val="100"/>
          <w:marBottom w:val="0"/>
          <w:divBdr>
            <w:top w:val="none" w:sz="0" w:space="0" w:color="auto"/>
            <w:left w:val="none" w:sz="0" w:space="0" w:color="auto"/>
            <w:bottom w:val="none" w:sz="0" w:space="0" w:color="auto"/>
            <w:right w:val="none" w:sz="0" w:space="0" w:color="auto"/>
          </w:divBdr>
        </w:div>
        <w:div w:id="1121150348">
          <w:marLeft w:val="1800"/>
          <w:marRight w:val="0"/>
          <w:marTop w:val="100"/>
          <w:marBottom w:val="0"/>
          <w:divBdr>
            <w:top w:val="none" w:sz="0" w:space="0" w:color="auto"/>
            <w:left w:val="none" w:sz="0" w:space="0" w:color="auto"/>
            <w:bottom w:val="none" w:sz="0" w:space="0" w:color="auto"/>
            <w:right w:val="none" w:sz="0" w:space="0" w:color="auto"/>
          </w:divBdr>
        </w:div>
        <w:div w:id="547768899">
          <w:marLeft w:val="2520"/>
          <w:marRight w:val="0"/>
          <w:marTop w:val="100"/>
          <w:marBottom w:val="0"/>
          <w:divBdr>
            <w:top w:val="none" w:sz="0" w:space="0" w:color="auto"/>
            <w:left w:val="none" w:sz="0" w:space="0" w:color="auto"/>
            <w:bottom w:val="none" w:sz="0" w:space="0" w:color="auto"/>
            <w:right w:val="none" w:sz="0" w:space="0" w:color="auto"/>
          </w:divBdr>
        </w:div>
        <w:div w:id="483358175">
          <w:marLeft w:val="2520"/>
          <w:marRight w:val="0"/>
          <w:marTop w:val="100"/>
          <w:marBottom w:val="0"/>
          <w:divBdr>
            <w:top w:val="none" w:sz="0" w:space="0" w:color="auto"/>
            <w:left w:val="none" w:sz="0" w:space="0" w:color="auto"/>
            <w:bottom w:val="none" w:sz="0" w:space="0" w:color="auto"/>
            <w:right w:val="none" w:sz="0" w:space="0" w:color="auto"/>
          </w:divBdr>
        </w:div>
        <w:div w:id="1495029878">
          <w:marLeft w:val="2520"/>
          <w:marRight w:val="0"/>
          <w:marTop w:val="100"/>
          <w:marBottom w:val="0"/>
          <w:divBdr>
            <w:top w:val="none" w:sz="0" w:space="0" w:color="auto"/>
            <w:left w:val="none" w:sz="0" w:space="0" w:color="auto"/>
            <w:bottom w:val="none" w:sz="0" w:space="0" w:color="auto"/>
            <w:right w:val="none" w:sz="0" w:space="0" w:color="auto"/>
          </w:divBdr>
        </w:div>
        <w:div w:id="692458471">
          <w:marLeft w:val="1800"/>
          <w:marRight w:val="0"/>
          <w:marTop w:val="100"/>
          <w:marBottom w:val="0"/>
          <w:divBdr>
            <w:top w:val="none" w:sz="0" w:space="0" w:color="auto"/>
            <w:left w:val="none" w:sz="0" w:space="0" w:color="auto"/>
            <w:bottom w:val="none" w:sz="0" w:space="0" w:color="auto"/>
            <w:right w:val="none" w:sz="0" w:space="0" w:color="auto"/>
          </w:divBdr>
        </w:div>
        <w:div w:id="905725921">
          <w:marLeft w:val="1800"/>
          <w:marRight w:val="0"/>
          <w:marTop w:val="100"/>
          <w:marBottom w:val="0"/>
          <w:divBdr>
            <w:top w:val="none" w:sz="0" w:space="0" w:color="auto"/>
            <w:left w:val="none" w:sz="0" w:space="0" w:color="auto"/>
            <w:bottom w:val="none" w:sz="0" w:space="0" w:color="auto"/>
            <w:right w:val="none" w:sz="0" w:space="0" w:color="auto"/>
          </w:divBdr>
        </w:div>
      </w:divsChild>
    </w:div>
    <w:div w:id="1046566808">
      <w:bodyDiv w:val="1"/>
      <w:marLeft w:val="0"/>
      <w:marRight w:val="0"/>
      <w:marTop w:val="0"/>
      <w:marBottom w:val="0"/>
      <w:divBdr>
        <w:top w:val="none" w:sz="0" w:space="0" w:color="auto"/>
        <w:left w:val="none" w:sz="0" w:space="0" w:color="auto"/>
        <w:bottom w:val="none" w:sz="0" w:space="0" w:color="auto"/>
        <w:right w:val="none" w:sz="0" w:space="0" w:color="auto"/>
      </w:divBdr>
      <w:divsChild>
        <w:div w:id="816341575">
          <w:marLeft w:val="547"/>
          <w:marRight w:val="0"/>
          <w:marTop w:val="154"/>
          <w:marBottom w:val="0"/>
          <w:divBdr>
            <w:top w:val="none" w:sz="0" w:space="0" w:color="auto"/>
            <w:left w:val="none" w:sz="0" w:space="0" w:color="auto"/>
            <w:bottom w:val="none" w:sz="0" w:space="0" w:color="auto"/>
            <w:right w:val="none" w:sz="0" w:space="0" w:color="auto"/>
          </w:divBdr>
        </w:div>
        <w:div w:id="2071927681">
          <w:marLeft w:val="1166"/>
          <w:marRight w:val="0"/>
          <w:marTop w:val="134"/>
          <w:marBottom w:val="0"/>
          <w:divBdr>
            <w:top w:val="none" w:sz="0" w:space="0" w:color="auto"/>
            <w:left w:val="none" w:sz="0" w:space="0" w:color="auto"/>
            <w:bottom w:val="none" w:sz="0" w:space="0" w:color="auto"/>
            <w:right w:val="none" w:sz="0" w:space="0" w:color="auto"/>
          </w:divBdr>
        </w:div>
      </w:divsChild>
    </w:div>
    <w:div w:id="1134178505">
      <w:bodyDiv w:val="1"/>
      <w:marLeft w:val="0"/>
      <w:marRight w:val="0"/>
      <w:marTop w:val="0"/>
      <w:marBottom w:val="0"/>
      <w:divBdr>
        <w:top w:val="none" w:sz="0" w:space="0" w:color="auto"/>
        <w:left w:val="none" w:sz="0" w:space="0" w:color="auto"/>
        <w:bottom w:val="none" w:sz="0" w:space="0" w:color="auto"/>
        <w:right w:val="none" w:sz="0" w:space="0" w:color="auto"/>
      </w:divBdr>
      <w:divsChild>
        <w:div w:id="367992365">
          <w:marLeft w:val="0"/>
          <w:marRight w:val="0"/>
          <w:marTop w:val="0"/>
          <w:marBottom w:val="0"/>
          <w:divBdr>
            <w:top w:val="none" w:sz="0" w:space="0" w:color="auto"/>
            <w:left w:val="none" w:sz="0" w:space="0" w:color="auto"/>
            <w:bottom w:val="none" w:sz="0" w:space="0" w:color="auto"/>
            <w:right w:val="none" w:sz="0" w:space="0" w:color="auto"/>
          </w:divBdr>
        </w:div>
      </w:divsChild>
    </w:div>
    <w:div w:id="1304191869">
      <w:bodyDiv w:val="1"/>
      <w:marLeft w:val="0"/>
      <w:marRight w:val="0"/>
      <w:marTop w:val="0"/>
      <w:marBottom w:val="0"/>
      <w:divBdr>
        <w:top w:val="none" w:sz="0" w:space="0" w:color="auto"/>
        <w:left w:val="none" w:sz="0" w:space="0" w:color="auto"/>
        <w:bottom w:val="none" w:sz="0" w:space="0" w:color="auto"/>
        <w:right w:val="none" w:sz="0" w:space="0" w:color="auto"/>
      </w:divBdr>
      <w:divsChild>
        <w:div w:id="441074163">
          <w:marLeft w:val="1080"/>
          <w:marRight w:val="0"/>
          <w:marTop w:val="100"/>
          <w:marBottom w:val="0"/>
          <w:divBdr>
            <w:top w:val="none" w:sz="0" w:space="0" w:color="auto"/>
            <w:left w:val="none" w:sz="0" w:space="0" w:color="auto"/>
            <w:bottom w:val="none" w:sz="0" w:space="0" w:color="auto"/>
            <w:right w:val="none" w:sz="0" w:space="0" w:color="auto"/>
          </w:divBdr>
        </w:div>
        <w:div w:id="869802598">
          <w:marLeft w:val="1800"/>
          <w:marRight w:val="0"/>
          <w:marTop w:val="100"/>
          <w:marBottom w:val="0"/>
          <w:divBdr>
            <w:top w:val="none" w:sz="0" w:space="0" w:color="auto"/>
            <w:left w:val="none" w:sz="0" w:space="0" w:color="auto"/>
            <w:bottom w:val="none" w:sz="0" w:space="0" w:color="auto"/>
            <w:right w:val="none" w:sz="0" w:space="0" w:color="auto"/>
          </w:divBdr>
        </w:div>
        <w:div w:id="84691679">
          <w:marLeft w:val="2520"/>
          <w:marRight w:val="0"/>
          <w:marTop w:val="100"/>
          <w:marBottom w:val="0"/>
          <w:divBdr>
            <w:top w:val="none" w:sz="0" w:space="0" w:color="auto"/>
            <w:left w:val="none" w:sz="0" w:space="0" w:color="auto"/>
            <w:bottom w:val="none" w:sz="0" w:space="0" w:color="auto"/>
            <w:right w:val="none" w:sz="0" w:space="0" w:color="auto"/>
          </w:divBdr>
        </w:div>
        <w:div w:id="1839029296">
          <w:marLeft w:val="2520"/>
          <w:marRight w:val="0"/>
          <w:marTop w:val="100"/>
          <w:marBottom w:val="0"/>
          <w:divBdr>
            <w:top w:val="none" w:sz="0" w:space="0" w:color="auto"/>
            <w:left w:val="none" w:sz="0" w:space="0" w:color="auto"/>
            <w:bottom w:val="none" w:sz="0" w:space="0" w:color="auto"/>
            <w:right w:val="none" w:sz="0" w:space="0" w:color="auto"/>
          </w:divBdr>
        </w:div>
        <w:div w:id="1171532824">
          <w:marLeft w:val="2520"/>
          <w:marRight w:val="0"/>
          <w:marTop w:val="100"/>
          <w:marBottom w:val="0"/>
          <w:divBdr>
            <w:top w:val="none" w:sz="0" w:space="0" w:color="auto"/>
            <w:left w:val="none" w:sz="0" w:space="0" w:color="auto"/>
            <w:bottom w:val="none" w:sz="0" w:space="0" w:color="auto"/>
            <w:right w:val="none" w:sz="0" w:space="0" w:color="auto"/>
          </w:divBdr>
        </w:div>
        <w:div w:id="1052844199">
          <w:marLeft w:val="1800"/>
          <w:marRight w:val="0"/>
          <w:marTop w:val="100"/>
          <w:marBottom w:val="0"/>
          <w:divBdr>
            <w:top w:val="none" w:sz="0" w:space="0" w:color="auto"/>
            <w:left w:val="none" w:sz="0" w:space="0" w:color="auto"/>
            <w:bottom w:val="none" w:sz="0" w:space="0" w:color="auto"/>
            <w:right w:val="none" w:sz="0" w:space="0" w:color="auto"/>
          </w:divBdr>
        </w:div>
        <w:div w:id="622225961">
          <w:marLeft w:val="1800"/>
          <w:marRight w:val="0"/>
          <w:marTop w:val="100"/>
          <w:marBottom w:val="0"/>
          <w:divBdr>
            <w:top w:val="none" w:sz="0" w:space="0" w:color="auto"/>
            <w:left w:val="none" w:sz="0" w:space="0" w:color="auto"/>
            <w:bottom w:val="none" w:sz="0" w:space="0" w:color="auto"/>
            <w:right w:val="none" w:sz="0" w:space="0" w:color="auto"/>
          </w:divBdr>
        </w:div>
      </w:divsChild>
    </w:div>
    <w:div w:id="1364087975">
      <w:bodyDiv w:val="1"/>
      <w:marLeft w:val="0"/>
      <w:marRight w:val="0"/>
      <w:marTop w:val="0"/>
      <w:marBottom w:val="0"/>
      <w:divBdr>
        <w:top w:val="none" w:sz="0" w:space="0" w:color="auto"/>
        <w:left w:val="none" w:sz="0" w:space="0" w:color="auto"/>
        <w:bottom w:val="none" w:sz="0" w:space="0" w:color="auto"/>
        <w:right w:val="none" w:sz="0" w:space="0" w:color="auto"/>
      </w:divBdr>
    </w:div>
    <w:div w:id="1467697297">
      <w:bodyDiv w:val="1"/>
      <w:marLeft w:val="0"/>
      <w:marRight w:val="0"/>
      <w:marTop w:val="0"/>
      <w:marBottom w:val="0"/>
      <w:divBdr>
        <w:top w:val="none" w:sz="0" w:space="0" w:color="auto"/>
        <w:left w:val="none" w:sz="0" w:space="0" w:color="auto"/>
        <w:bottom w:val="none" w:sz="0" w:space="0" w:color="auto"/>
        <w:right w:val="none" w:sz="0" w:space="0" w:color="auto"/>
      </w:divBdr>
      <w:divsChild>
        <w:div w:id="512649719">
          <w:marLeft w:val="1080"/>
          <w:marRight w:val="0"/>
          <w:marTop w:val="100"/>
          <w:marBottom w:val="0"/>
          <w:divBdr>
            <w:top w:val="none" w:sz="0" w:space="0" w:color="auto"/>
            <w:left w:val="none" w:sz="0" w:space="0" w:color="auto"/>
            <w:bottom w:val="none" w:sz="0" w:space="0" w:color="auto"/>
            <w:right w:val="none" w:sz="0" w:space="0" w:color="auto"/>
          </w:divBdr>
        </w:div>
        <w:div w:id="915363352">
          <w:marLeft w:val="1800"/>
          <w:marRight w:val="0"/>
          <w:marTop w:val="100"/>
          <w:marBottom w:val="0"/>
          <w:divBdr>
            <w:top w:val="none" w:sz="0" w:space="0" w:color="auto"/>
            <w:left w:val="none" w:sz="0" w:space="0" w:color="auto"/>
            <w:bottom w:val="none" w:sz="0" w:space="0" w:color="auto"/>
            <w:right w:val="none" w:sz="0" w:space="0" w:color="auto"/>
          </w:divBdr>
        </w:div>
        <w:div w:id="1988122494">
          <w:marLeft w:val="2304"/>
          <w:marRight w:val="0"/>
          <w:marTop w:val="100"/>
          <w:marBottom w:val="0"/>
          <w:divBdr>
            <w:top w:val="none" w:sz="0" w:space="0" w:color="auto"/>
            <w:left w:val="none" w:sz="0" w:space="0" w:color="auto"/>
            <w:bottom w:val="none" w:sz="0" w:space="0" w:color="auto"/>
            <w:right w:val="none" w:sz="0" w:space="0" w:color="auto"/>
          </w:divBdr>
        </w:div>
        <w:div w:id="1001201553">
          <w:marLeft w:val="2304"/>
          <w:marRight w:val="0"/>
          <w:marTop w:val="100"/>
          <w:marBottom w:val="0"/>
          <w:divBdr>
            <w:top w:val="none" w:sz="0" w:space="0" w:color="auto"/>
            <w:left w:val="none" w:sz="0" w:space="0" w:color="auto"/>
            <w:bottom w:val="none" w:sz="0" w:space="0" w:color="auto"/>
            <w:right w:val="none" w:sz="0" w:space="0" w:color="auto"/>
          </w:divBdr>
        </w:div>
        <w:div w:id="1489245948">
          <w:marLeft w:val="2304"/>
          <w:marRight w:val="0"/>
          <w:marTop w:val="100"/>
          <w:marBottom w:val="0"/>
          <w:divBdr>
            <w:top w:val="none" w:sz="0" w:space="0" w:color="auto"/>
            <w:left w:val="none" w:sz="0" w:space="0" w:color="auto"/>
            <w:bottom w:val="none" w:sz="0" w:space="0" w:color="auto"/>
            <w:right w:val="none" w:sz="0" w:space="0" w:color="auto"/>
          </w:divBdr>
        </w:div>
      </w:divsChild>
    </w:div>
    <w:div w:id="2053536474">
      <w:bodyDiv w:val="1"/>
      <w:marLeft w:val="0"/>
      <w:marRight w:val="0"/>
      <w:marTop w:val="0"/>
      <w:marBottom w:val="0"/>
      <w:divBdr>
        <w:top w:val="none" w:sz="0" w:space="0" w:color="auto"/>
        <w:left w:val="none" w:sz="0" w:space="0" w:color="auto"/>
        <w:bottom w:val="none" w:sz="0" w:space="0" w:color="auto"/>
        <w:right w:val="none" w:sz="0" w:space="0" w:color="auto"/>
      </w:divBdr>
      <w:divsChild>
        <w:div w:id="1717004667">
          <w:marLeft w:val="360"/>
          <w:marRight w:val="0"/>
          <w:marTop w:val="200"/>
          <w:marBottom w:val="0"/>
          <w:divBdr>
            <w:top w:val="none" w:sz="0" w:space="0" w:color="auto"/>
            <w:left w:val="none" w:sz="0" w:space="0" w:color="auto"/>
            <w:bottom w:val="none" w:sz="0" w:space="0" w:color="auto"/>
            <w:right w:val="none" w:sz="0" w:space="0" w:color="auto"/>
          </w:divBdr>
        </w:div>
        <w:div w:id="794983138">
          <w:marLeft w:val="1080"/>
          <w:marRight w:val="0"/>
          <w:marTop w:val="100"/>
          <w:marBottom w:val="0"/>
          <w:divBdr>
            <w:top w:val="none" w:sz="0" w:space="0" w:color="auto"/>
            <w:left w:val="none" w:sz="0" w:space="0" w:color="auto"/>
            <w:bottom w:val="none" w:sz="0" w:space="0" w:color="auto"/>
            <w:right w:val="none" w:sz="0" w:space="0" w:color="auto"/>
          </w:divBdr>
        </w:div>
        <w:div w:id="872888168">
          <w:marLeft w:val="1800"/>
          <w:marRight w:val="0"/>
          <w:marTop w:val="100"/>
          <w:marBottom w:val="0"/>
          <w:divBdr>
            <w:top w:val="none" w:sz="0" w:space="0" w:color="auto"/>
            <w:left w:val="none" w:sz="0" w:space="0" w:color="auto"/>
            <w:bottom w:val="none" w:sz="0" w:space="0" w:color="auto"/>
            <w:right w:val="none" w:sz="0" w:space="0" w:color="auto"/>
          </w:divBdr>
        </w:div>
        <w:div w:id="1092168692">
          <w:marLeft w:val="1800"/>
          <w:marRight w:val="0"/>
          <w:marTop w:val="100"/>
          <w:marBottom w:val="0"/>
          <w:divBdr>
            <w:top w:val="none" w:sz="0" w:space="0" w:color="auto"/>
            <w:left w:val="none" w:sz="0" w:space="0" w:color="auto"/>
            <w:bottom w:val="none" w:sz="0" w:space="0" w:color="auto"/>
            <w:right w:val="none" w:sz="0" w:space="0" w:color="auto"/>
          </w:divBdr>
        </w:div>
        <w:div w:id="1307323433">
          <w:marLeft w:val="1080"/>
          <w:marRight w:val="0"/>
          <w:marTop w:val="100"/>
          <w:marBottom w:val="0"/>
          <w:divBdr>
            <w:top w:val="none" w:sz="0" w:space="0" w:color="auto"/>
            <w:left w:val="none" w:sz="0" w:space="0" w:color="auto"/>
            <w:bottom w:val="none" w:sz="0" w:space="0" w:color="auto"/>
            <w:right w:val="none" w:sz="0" w:space="0" w:color="auto"/>
          </w:divBdr>
        </w:div>
        <w:div w:id="198885048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6</cp:revision>
  <dcterms:created xsi:type="dcterms:W3CDTF">2021-08-05T00:34:00Z</dcterms:created>
  <dcterms:modified xsi:type="dcterms:W3CDTF">2021-08-06T20:58:00Z</dcterms:modified>
</cp:coreProperties>
</file>